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BC29" w14:textId="31E1BA85" w:rsidR="00CC3EAD" w:rsidRPr="00FF6C76" w:rsidRDefault="008E6E85" w:rsidP="007A6D17">
      <w:pPr>
        <w:spacing w:line="276" w:lineRule="auto"/>
        <w:jc w:val="both"/>
        <w:rPr>
          <w:rFonts w:ascii="Century Gothic" w:hAnsi="Century Gothic"/>
          <w:b/>
          <w:bCs/>
          <w:sz w:val="22"/>
          <w:szCs w:val="22"/>
        </w:rPr>
      </w:pPr>
      <w:r w:rsidRPr="00FF6C76">
        <w:rPr>
          <w:rFonts w:ascii="Century Gothic" w:hAnsi="Century Gothic"/>
          <w:b/>
          <w:bCs/>
          <w:sz w:val="22"/>
          <w:szCs w:val="22"/>
        </w:rPr>
        <w:t>Royal Borough of Windsor and Maidenhead</w:t>
      </w:r>
    </w:p>
    <w:p w14:paraId="3BBD458D" w14:textId="41D0D4BC" w:rsidR="008E6E85" w:rsidRPr="00FF6C76" w:rsidRDefault="008E6E85" w:rsidP="007A6D17">
      <w:pPr>
        <w:spacing w:line="276" w:lineRule="auto"/>
        <w:jc w:val="both"/>
        <w:rPr>
          <w:rFonts w:ascii="Century Gothic" w:hAnsi="Century Gothic"/>
          <w:b/>
          <w:bCs/>
          <w:sz w:val="22"/>
          <w:szCs w:val="22"/>
        </w:rPr>
      </w:pPr>
      <w:r w:rsidRPr="00FF6C76">
        <w:rPr>
          <w:rFonts w:ascii="Century Gothic" w:hAnsi="Century Gothic"/>
          <w:b/>
          <w:bCs/>
          <w:sz w:val="22"/>
          <w:szCs w:val="22"/>
        </w:rPr>
        <w:t>Multi-agency adults and children’s safeguarding arrangements</w:t>
      </w:r>
    </w:p>
    <w:p w14:paraId="037E0A11" w14:textId="33785E5A" w:rsidR="008E6E85" w:rsidRPr="00FF6C76" w:rsidRDefault="008E6E85" w:rsidP="007A6D17">
      <w:pPr>
        <w:spacing w:line="276" w:lineRule="auto"/>
        <w:jc w:val="both"/>
        <w:rPr>
          <w:rFonts w:ascii="Century Gothic" w:hAnsi="Century Gothic"/>
          <w:b/>
          <w:bCs/>
          <w:sz w:val="22"/>
          <w:szCs w:val="22"/>
        </w:rPr>
      </w:pPr>
      <w:r w:rsidRPr="00FF6C76">
        <w:rPr>
          <w:rFonts w:ascii="Century Gothic" w:hAnsi="Century Gothic"/>
          <w:b/>
          <w:bCs/>
          <w:sz w:val="22"/>
          <w:szCs w:val="22"/>
        </w:rPr>
        <w:t xml:space="preserve">A </w:t>
      </w:r>
      <w:r w:rsidR="00F74C1C">
        <w:rPr>
          <w:rFonts w:ascii="Century Gothic" w:hAnsi="Century Gothic"/>
          <w:b/>
          <w:bCs/>
          <w:sz w:val="22"/>
          <w:szCs w:val="22"/>
        </w:rPr>
        <w:t xml:space="preserve">Local </w:t>
      </w:r>
      <w:r w:rsidRPr="00FF6C76">
        <w:rPr>
          <w:rFonts w:ascii="Century Gothic" w:hAnsi="Century Gothic"/>
          <w:b/>
          <w:bCs/>
          <w:sz w:val="22"/>
          <w:szCs w:val="22"/>
        </w:rPr>
        <w:t>Child Safeguarding Practice Review</w:t>
      </w:r>
    </w:p>
    <w:p w14:paraId="5EE50B8D" w14:textId="13F8F68B" w:rsidR="008E6E85" w:rsidRPr="00FF6C76" w:rsidRDefault="008E6E85" w:rsidP="007A6D17">
      <w:pPr>
        <w:spacing w:line="276" w:lineRule="auto"/>
        <w:jc w:val="both"/>
        <w:rPr>
          <w:rFonts w:ascii="Century Gothic" w:hAnsi="Century Gothic"/>
          <w:b/>
          <w:bCs/>
          <w:sz w:val="22"/>
          <w:szCs w:val="22"/>
        </w:rPr>
      </w:pPr>
    </w:p>
    <w:p w14:paraId="5116EF90" w14:textId="77F14292" w:rsidR="008E6E85" w:rsidRPr="00FF6C76" w:rsidRDefault="008E6E85" w:rsidP="007A6D17">
      <w:pPr>
        <w:spacing w:line="276" w:lineRule="auto"/>
        <w:jc w:val="both"/>
        <w:rPr>
          <w:rFonts w:ascii="Century Gothic" w:hAnsi="Century Gothic"/>
          <w:b/>
          <w:bCs/>
          <w:sz w:val="22"/>
          <w:szCs w:val="22"/>
        </w:rPr>
      </w:pPr>
    </w:p>
    <w:p w14:paraId="7D93E461" w14:textId="45FBF24B" w:rsidR="008E6E85" w:rsidRPr="00FF6C76" w:rsidRDefault="008E6E85" w:rsidP="007A6D17">
      <w:pPr>
        <w:spacing w:line="276" w:lineRule="auto"/>
        <w:jc w:val="both"/>
        <w:rPr>
          <w:rFonts w:ascii="Century Gothic" w:hAnsi="Century Gothic"/>
          <w:b/>
          <w:bCs/>
          <w:sz w:val="22"/>
          <w:szCs w:val="22"/>
        </w:rPr>
      </w:pPr>
      <w:r w:rsidRPr="00FF6C76">
        <w:rPr>
          <w:rFonts w:ascii="Century Gothic" w:hAnsi="Century Gothic"/>
          <w:b/>
          <w:bCs/>
          <w:sz w:val="22"/>
          <w:szCs w:val="22"/>
        </w:rPr>
        <w:t>Child T</w:t>
      </w:r>
    </w:p>
    <w:p w14:paraId="6D8B02E2" w14:textId="2026CB5E" w:rsidR="008E6E85" w:rsidRPr="00FF6C76" w:rsidRDefault="00384B5F" w:rsidP="007A6D17">
      <w:pPr>
        <w:spacing w:line="276" w:lineRule="auto"/>
        <w:jc w:val="both"/>
        <w:rPr>
          <w:rFonts w:ascii="Century Gothic" w:hAnsi="Century Gothic"/>
          <w:b/>
          <w:bCs/>
          <w:sz w:val="22"/>
          <w:szCs w:val="22"/>
        </w:rPr>
      </w:pPr>
      <w:r>
        <w:rPr>
          <w:rFonts w:ascii="Century Gothic" w:hAnsi="Century Gothic"/>
          <w:b/>
          <w:bCs/>
          <w:sz w:val="22"/>
          <w:szCs w:val="22"/>
        </w:rPr>
        <w:t>April</w:t>
      </w:r>
      <w:r w:rsidR="00BB7A96">
        <w:rPr>
          <w:rFonts w:ascii="Century Gothic" w:hAnsi="Century Gothic"/>
          <w:b/>
          <w:bCs/>
          <w:sz w:val="22"/>
          <w:szCs w:val="22"/>
        </w:rPr>
        <w:t xml:space="preserve"> 2021</w:t>
      </w:r>
    </w:p>
    <w:p w14:paraId="1CEDF736" w14:textId="70318CC2" w:rsidR="008E6E85" w:rsidRPr="00FF6C76" w:rsidRDefault="008E6E85" w:rsidP="007A6D17">
      <w:pPr>
        <w:spacing w:line="276" w:lineRule="auto"/>
        <w:jc w:val="both"/>
        <w:rPr>
          <w:rFonts w:ascii="Century Gothic" w:hAnsi="Century Gothic"/>
          <w:sz w:val="22"/>
          <w:szCs w:val="22"/>
        </w:rPr>
      </w:pPr>
    </w:p>
    <w:p w14:paraId="37F1ECE2" w14:textId="57195E0F" w:rsidR="008E6E85" w:rsidRPr="00FF6C76" w:rsidRDefault="008E6E85" w:rsidP="007A6D17">
      <w:pPr>
        <w:spacing w:line="276" w:lineRule="auto"/>
        <w:jc w:val="both"/>
        <w:rPr>
          <w:rFonts w:ascii="Century Gothic" w:hAnsi="Century Gothic"/>
          <w:sz w:val="22"/>
          <w:szCs w:val="22"/>
        </w:rPr>
      </w:pPr>
    </w:p>
    <w:p w14:paraId="033A5BFD" w14:textId="70E7BA05" w:rsidR="008E6E85" w:rsidRPr="00FF6C76" w:rsidRDefault="008E6E85" w:rsidP="007A6D17">
      <w:pPr>
        <w:spacing w:line="276" w:lineRule="auto"/>
        <w:jc w:val="both"/>
        <w:rPr>
          <w:rFonts w:ascii="Century Gothic" w:hAnsi="Century Gothic"/>
          <w:sz w:val="22"/>
          <w:szCs w:val="22"/>
        </w:rPr>
      </w:pPr>
    </w:p>
    <w:p w14:paraId="04D84C1B" w14:textId="78EC5CC8" w:rsidR="008E6E85" w:rsidRPr="00FF6C76" w:rsidRDefault="008E6E85" w:rsidP="007A6D17">
      <w:pPr>
        <w:spacing w:line="276" w:lineRule="auto"/>
        <w:jc w:val="both"/>
        <w:rPr>
          <w:rFonts w:ascii="Century Gothic" w:hAnsi="Century Gothic"/>
          <w:sz w:val="22"/>
          <w:szCs w:val="22"/>
        </w:rPr>
      </w:pPr>
    </w:p>
    <w:p w14:paraId="1EB04E9B" w14:textId="6CC46427" w:rsidR="008E6E85" w:rsidRPr="00FF6C76" w:rsidRDefault="008E6E85" w:rsidP="007A6D17">
      <w:pPr>
        <w:spacing w:line="276" w:lineRule="auto"/>
        <w:jc w:val="both"/>
        <w:rPr>
          <w:rFonts w:ascii="Century Gothic" w:hAnsi="Century Gothic"/>
          <w:sz w:val="22"/>
          <w:szCs w:val="22"/>
        </w:rPr>
      </w:pPr>
    </w:p>
    <w:p w14:paraId="45430FD3" w14:textId="38C2DB9B" w:rsidR="008E6E85" w:rsidRPr="00FF6C76" w:rsidRDefault="008E6E85" w:rsidP="007A6D17">
      <w:pPr>
        <w:spacing w:line="276" w:lineRule="auto"/>
        <w:jc w:val="both"/>
        <w:rPr>
          <w:rFonts w:ascii="Century Gothic" w:hAnsi="Century Gothic"/>
          <w:sz w:val="22"/>
          <w:szCs w:val="22"/>
        </w:rPr>
      </w:pPr>
    </w:p>
    <w:p w14:paraId="266FADDD" w14:textId="256DC7FC" w:rsidR="008E6E85" w:rsidRPr="00FF6C76" w:rsidRDefault="008E6E85" w:rsidP="007A6D17">
      <w:pPr>
        <w:spacing w:line="276" w:lineRule="auto"/>
        <w:jc w:val="both"/>
        <w:rPr>
          <w:rFonts w:ascii="Century Gothic" w:hAnsi="Century Gothic"/>
          <w:sz w:val="22"/>
          <w:szCs w:val="22"/>
        </w:rPr>
      </w:pPr>
    </w:p>
    <w:p w14:paraId="7F9DDA12" w14:textId="65C3E856" w:rsidR="008E6E85" w:rsidRPr="00FF6C76" w:rsidRDefault="008E6E85" w:rsidP="007A6D17">
      <w:pPr>
        <w:spacing w:line="276" w:lineRule="auto"/>
        <w:jc w:val="both"/>
        <w:rPr>
          <w:rFonts w:ascii="Century Gothic" w:hAnsi="Century Gothic"/>
          <w:sz w:val="22"/>
          <w:szCs w:val="22"/>
        </w:rPr>
      </w:pPr>
    </w:p>
    <w:p w14:paraId="27B51890" w14:textId="697C26AC" w:rsidR="008E6E85" w:rsidRPr="00FF6C76" w:rsidRDefault="008E6E85" w:rsidP="007A6D17">
      <w:pPr>
        <w:spacing w:line="276" w:lineRule="auto"/>
        <w:jc w:val="both"/>
        <w:rPr>
          <w:rFonts w:ascii="Century Gothic" w:hAnsi="Century Gothic"/>
          <w:sz w:val="22"/>
          <w:szCs w:val="22"/>
        </w:rPr>
      </w:pPr>
    </w:p>
    <w:p w14:paraId="5AE496EF" w14:textId="0E7F31BC" w:rsidR="008E6E85" w:rsidRPr="00FF6C76" w:rsidRDefault="008E6E85" w:rsidP="007A6D17">
      <w:pPr>
        <w:spacing w:line="276" w:lineRule="auto"/>
        <w:jc w:val="both"/>
        <w:rPr>
          <w:rFonts w:ascii="Century Gothic" w:hAnsi="Century Gothic"/>
          <w:sz w:val="22"/>
          <w:szCs w:val="22"/>
        </w:rPr>
      </w:pPr>
    </w:p>
    <w:p w14:paraId="40A3A3C8" w14:textId="60CF091E" w:rsidR="008E6E85" w:rsidRPr="00FF6C76" w:rsidRDefault="008E6E85" w:rsidP="007A6D17">
      <w:pPr>
        <w:spacing w:line="276" w:lineRule="auto"/>
        <w:jc w:val="both"/>
        <w:rPr>
          <w:rFonts w:ascii="Century Gothic" w:hAnsi="Century Gothic"/>
          <w:sz w:val="22"/>
          <w:szCs w:val="22"/>
        </w:rPr>
      </w:pPr>
    </w:p>
    <w:p w14:paraId="019DBF76" w14:textId="1BC6B323" w:rsidR="008E6E85" w:rsidRPr="00FF6C76" w:rsidRDefault="008E6E85" w:rsidP="007A6D17">
      <w:pPr>
        <w:spacing w:line="276" w:lineRule="auto"/>
        <w:jc w:val="both"/>
        <w:rPr>
          <w:rFonts w:ascii="Century Gothic" w:hAnsi="Century Gothic"/>
          <w:sz w:val="22"/>
          <w:szCs w:val="22"/>
        </w:rPr>
      </w:pPr>
    </w:p>
    <w:p w14:paraId="30D31212" w14:textId="2C68FF0A" w:rsidR="008E6E85" w:rsidRPr="00FF6C76" w:rsidRDefault="008E6E85" w:rsidP="007A6D17">
      <w:pPr>
        <w:spacing w:line="276" w:lineRule="auto"/>
        <w:jc w:val="both"/>
        <w:rPr>
          <w:rFonts w:ascii="Century Gothic" w:hAnsi="Century Gothic"/>
          <w:sz w:val="22"/>
          <w:szCs w:val="22"/>
        </w:rPr>
      </w:pPr>
    </w:p>
    <w:p w14:paraId="530CF132" w14:textId="328DE318" w:rsidR="008E6E85" w:rsidRPr="00FF6C76" w:rsidRDefault="008E6E85" w:rsidP="007A6D17">
      <w:pPr>
        <w:spacing w:line="276" w:lineRule="auto"/>
        <w:jc w:val="both"/>
        <w:rPr>
          <w:rFonts w:ascii="Century Gothic" w:hAnsi="Century Gothic"/>
          <w:sz w:val="22"/>
          <w:szCs w:val="22"/>
        </w:rPr>
      </w:pPr>
    </w:p>
    <w:p w14:paraId="084DDC4D" w14:textId="2E091B83" w:rsidR="008E6E85" w:rsidRPr="00FF6C76" w:rsidRDefault="008E6E85" w:rsidP="007A6D17">
      <w:pPr>
        <w:spacing w:line="276" w:lineRule="auto"/>
        <w:jc w:val="both"/>
        <w:rPr>
          <w:rFonts w:ascii="Century Gothic" w:hAnsi="Century Gothic"/>
          <w:sz w:val="22"/>
          <w:szCs w:val="22"/>
        </w:rPr>
      </w:pPr>
    </w:p>
    <w:p w14:paraId="2E714A81" w14:textId="4B440F81" w:rsidR="008E6E85" w:rsidRPr="00FF6C76" w:rsidRDefault="008E6E85" w:rsidP="007A6D17">
      <w:pPr>
        <w:spacing w:line="276" w:lineRule="auto"/>
        <w:jc w:val="both"/>
        <w:rPr>
          <w:rFonts w:ascii="Century Gothic" w:hAnsi="Century Gothic"/>
          <w:sz w:val="22"/>
          <w:szCs w:val="22"/>
        </w:rPr>
      </w:pPr>
    </w:p>
    <w:p w14:paraId="0D139D23" w14:textId="447FEFF4" w:rsidR="008E6E85" w:rsidRPr="00FF6C76" w:rsidRDefault="008E6E85" w:rsidP="007A6D17">
      <w:pPr>
        <w:spacing w:line="276" w:lineRule="auto"/>
        <w:jc w:val="both"/>
        <w:rPr>
          <w:rFonts w:ascii="Century Gothic" w:hAnsi="Century Gothic"/>
          <w:sz w:val="22"/>
          <w:szCs w:val="22"/>
        </w:rPr>
      </w:pPr>
    </w:p>
    <w:p w14:paraId="7B252BDE" w14:textId="5C10E7BF" w:rsidR="008E6E85" w:rsidRPr="00FF6C76" w:rsidRDefault="008E6E85" w:rsidP="007A6D17">
      <w:pPr>
        <w:spacing w:line="276" w:lineRule="auto"/>
        <w:jc w:val="both"/>
        <w:rPr>
          <w:rFonts w:ascii="Century Gothic" w:hAnsi="Century Gothic"/>
          <w:sz w:val="22"/>
          <w:szCs w:val="22"/>
        </w:rPr>
      </w:pPr>
    </w:p>
    <w:p w14:paraId="0F976D38" w14:textId="3F45C739" w:rsidR="008E6E85" w:rsidRPr="00FF6C76" w:rsidRDefault="008E6E85" w:rsidP="007A6D17">
      <w:pPr>
        <w:spacing w:line="276" w:lineRule="auto"/>
        <w:jc w:val="both"/>
        <w:rPr>
          <w:rFonts w:ascii="Century Gothic" w:hAnsi="Century Gothic"/>
          <w:sz w:val="22"/>
          <w:szCs w:val="22"/>
        </w:rPr>
      </w:pPr>
    </w:p>
    <w:p w14:paraId="72F8B34A" w14:textId="4A031911" w:rsidR="008E6E85" w:rsidRPr="00FF6C76" w:rsidRDefault="008E6E85" w:rsidP="007A6D17">
      <w:pPr>
        <w:spacing w:line="276" w:lineRule="auto"/>
        <w:jc w:val="both"/>
        <w:rPr>
          <w:rFonts w:ascii="Century Gothic" w:hAnsi="Century Gothic"/>
          <w:sz w:val="22"/>
          <w:szCs w:val="22"/>
        </w:rPr>
      </w:pPr>
    </w:p>
    <w:p w14:paraId="73E56C53" w14:textId="6A52EA36" w:rsidR="008E6E85" w:rsidRPr="00B6343B" w:rsidRDefault="008C423D" w:rsidP="007A6D17">
      <w:pPr>
        <w:spacing w:line="276" w:lineRule="auto"/>
        <w:jc w:val="both"/>
        <w:rPr>
          <w:rFonts w:ascii="Century Gothic" w:hAnsi="Century Gothic"/>
          <w:b/>
          <w:bCs/>
          <w:sz w:val="22"/>
          <w:szCs w:val="22"/>
        </w:rPr>
      </w:pPr>
      <w:r w:rsidRPr="00B6343B">
        <w:rPr>
          <w:rFonts w:ascii="Century Gothic" w:hAnsi="Century Gothic"/>
          <w:b/>
          <w:bCs/>
          <w:sz w:val="22"/>
          <w:szCs w:val="22"/>
        </w:rPr>
        <w:t>Independent Author – Ian Vinall</w:t>
      </w:r>
    </w:p>
    <w:p w14:paraId="2EE70498" w14:textId="6FA81AAD" w:rsidR="008E6E85" w:rsidRPr="00FF6C76" w:rsidRDefault="008E6E85" w:rsidP="007A6D17">
      <w:pPr>
        <w:spacing w:line="276" w:lineRule="auto"/>
        <w:jc w:val="both"/>
        <w:rPr>
          <w:rFonts w:ascii="Century Gothic" w:hAnsi="Century Gothic"/>
          <w:sz w:val="22"/>
          <w:szCs w:val="22"/>
        </w:rPr>
      </w:pPr>
    </w:p>
    <w:p w14:paraId="1F14486D" w14:textId="682B2E86" w:rsidR="008E6E85" w:rsidRPr="00FF6C76" w:rsidRDefault="008E6E85" w:rsidP="007A6D17">
      <w:pPr>
        <w:spacing w:line="276" w:lineRule="auto"/>
        <w:jc w:val="both"/>
        <w:rPr>
          <w:rFonts w:ascii="Century Gothic" w:hAnsi="Century Gothic"/>
          <w:sz w:val="22"/>
          <w:szCs w:val="22"/>
        </w:rPr>
      </w:pPr>
    </w:p>
    <w:p w14:paraId="15B774C7" w14:textId="1A45B628" w:rsidR="008E6E85" w:rsidRPr="00FF6C76" w:rsidRDefault="008E6E85" w:rsidP="007A6D17">
      <w:pPr>
        <w:spacing w:line="276" w:lineRule="auto"/>
        <w:jc w:val="both"/>
        <w:rPr>
          <w:rFonts w:ascii="Century Gothic" w:hAnsi="Century Gothic"/>
          <w:b/>
          <w:bCs/>
          <w:sz w:val="22"/>
          <w:szCs w:val="22"/>
        </w:rPr>
      </w:pPr>
      <w:r w:rsidRPr="00FF6C76">
        <w:rPr>
          <w:rFonts w:ascii="Century Gothic" w:hAnsi="Century Gothic"/>
          <w:b/>
          <w:bCs/>
          <w:sz w:val="22"/>
          <w:szCs w:val="22"/>
        </w:rPr>
        <w:lastRenderedPageBreak/>
        <w:t>Contents</w:t>
      </w:r>
    </w:p>
    <w:p w14:paraId="5780BEC4" w14:textId="77777777" w:rsidR="00BC1D6F" w:rsidRDefault="008E6E85" w:rsidP="00BC1D6F">
      <w:pPr>
        <w:spacing w:line="276" w:lineRule="auto"/>
        <w:jc w:val="both"/>
        <w:rPr>
          <w:rFonts w:ascii="Century Gothic" w:hAnsi="Century Gothic"/>
          <w:sz w:val="22"/>
          <w:szCs w:val="22"/>
        </w:rPr>
      </w:pPr>
      <w:r w:rsidRPr="00BE5605">
        <w:rPr>
          <w:rFonts w:ascii="Century Gothic" w:hAnsi="Century Gothic"/>
          <w:sz w:val="22"/>
          <w:szCs w:val="22"/>
        </w:rPr>
        <w:t>Introduction</w:t>
      </w:r>
    </w:p>
    <w:p w14:paraId="33D6880D" w14:textId="34A5CB9B" w:rsidR="008E6E85" w:rsidRPr="00BC1D6F" w:rsidRDefault="008E6E85" w:rsidP="00BC1D6F">
      <w:pPr>
        <w:spacing w:line="276" w:lineRule="auto"/>
        <w:jc w:val="both"/>
        <w:rPr>
          <w:rFonts w:ascii="Century Gothic" w:hAnsi="Century Gothic"/>
          <w:sz w:val="22"/>
          <w:szCs w:val="22"/>
        </w:rPr>
      </w:pPr>
      <w:r w:rsidRPr="00BC1D6F">
        <w:rPr>
          <w:rFonts w:ascii="Century Gothic" w:hAnsi="Century Gothic"/>
          <w:sz w:val="22"/>
          <w:szCs w:val="22"/>
        </w:rPr>
        <w:t>Methodology and Process</w:t>
      </w:r>
    </w:p>
    <w:p w14:paraId="763045CA" w14:textId="510B326B" w:rsidR="008E6E85" w:rsidRPr="00BC1D6F" w:rsidRDefault="00214AEF" w:rsidP="00BC1D6F">
      <w:pPr>
        <w:spacing w:line="276" w:lineRule="auto"/>
        <w:jc w:val="both"/>
        <w:rPr>
          <w:rFonts w:ascii="Century Gothic" w:hAnsi="Century Gothic"/>
          <w:sz w:val="22"/>
          <w:szCs w:val="22"/>
        </w:rPr>
      </w:pPr>
      <w:r w:rsidRPr="00BC1D6F">
        <w:rPr>
          <w:rFonts w:ascii="Century Gothic" w:hAnsi="Century Gothic"/>
          <w:sz w:val="22"/>
          <w:szCs w:val="22"/>
        </w:rPr>
        <w:t>Key Practice Episodes</w:t>
      </w:r>
    </w:p>
    <w:p w14:paraId="54E1E40D" w14:textId="51398F71" w:rsidR="008E6E85" w:rsidRPr="00BC1D6F" w:rsidRDefault="008E6E85" w:rsidP="00BC1D6F">
      <w:pPr>
        <w:spacing w:line="276" w:lineRule="auto"/>
        <w:jc w:val="both"/>
        <w:rPr>
          <w:rFonts w:ascii="Century Gothic" w:hAnsi="Century Gothic"/>
          <w:sz w:val="22"/>
          <w:szCs w:val="22"/>
        </w:rPr>
      </w:pPr>
      <w:r w:rsidRPr="00BC1D6F">
        <w:rPr>
          <w:rFonts w:ascii="Century Gothic" w:hAnsi="Century Gothic"/>
          <w:sz w:val="22"/>
          <w:szCs w:val="22"/>
        </w:rPr>
        <w:t>Emerging Practice Themes</w:t>
      </w:r>
    </w:p>
    <w:p w14:paraId="2840CF99" w14:textId="7FF2F048" w:rsidR="008E6E85" w:rsidRPr="00BC1D6F" w:rsidRDefault="008E6E85" w:rsidP="00BC1D6F">
      <w:pPr>
        <w:spacing w:line="276" w:lineRule="auto"/>
        <w:jc w:val="both"/>
        <w:rPr>
          <w:rFonts w:ascii="Century Gothic" w:hAnsi="Century Gothic"/>
          <w:sz w:val="22"/>
          <w:szCs w:val="22"/>
        </w:rPr>
      </w:pPr>
      <w:r w:rsidRPr="00BC1D6F">
        <w:rPr>
          <w:rFonts w:ascii="Century Gothic" w:hAnsi="Century Gothic"/>
          <w:sz w:val="22"/>
          <w:szCs w:val="22"/>
        </w:rPr>
        <w:t>Examples of Good Practice</w:t>
      </w:r>
    </w:p>
    <w:p w14:paraId="3522838F" w14:textId="2AA6FD19" w:rsidR="00486BFC" w:rsidRDefault="008E6E85" w:rsidP="00BC1D6F">
      <w:pPr>
        <w:spacing w:line="276" w:lineRule="auto"/>
        <w:jc w:val="both"/>
        <w:rPr>
          <w:rFonts w:ascii="Century Gothic" w:hAnsi="Century Gothic"/>
          <w:sz w:val="22"/>
          <w:szCs w:val="22"/>
        </w:rPr>
      </w:pPr>
      <w:r w:rsidRPr="00BC1D6F">
        <w:rPr>
          <w:rFonts w:ascii="Century Gothic" w:hAnsi="Century Gothic"/>
          <w:sz w:val="22"/>
          <w:szCs w:val="22"/>
        </w:rPr>
        <w:t>Conclusions</w:t>
      </w:r>
    </w:p>
    <w:p w14:paraId="63487A47" w14:textId="750AE1A7" w:rsidR="00715DC0" w:rsidRPr="00BC1D6F" w:rsidRDefault="00715DC0" w:rsidP="00BC1D6F">
      <w:pPr>
        <w:spacing w:line="276" w:lineRule="auto"/>
        <w:jc w:val="both"/>
        <w:rPr>
          <w:rFonts w:ascii="Century Gothic" w:hAnsi="Century Gothic"/>
          <w:sz w:val="22"/>
          <w:szCs w:val="22"/>
        </w:rPr>
      </w:pPr>
      <w:r>
        <w:rPr>
          <w:rFonts w:ascii="Century Gothic" w:hAnsi="Century Gothic"/>
          <w:sz w:val="22"/>
          <w:szCs w:val="22"/>
        </w:rPr>
        <w:t>Summary of learning</w:t>
      </w:r>
    </w:p>
    <w:p w14:paraId="2BB91B28" w14:textId="4E3BBA88" w:rsidR="008E6E85" w:rsidRPr="00BC1D6F" w:rsidRDefault="008E6E85" w:rsidP="00BC1D6F">
      <w:pPr>
        <w:spacing w:line="276" w:lineRule="auto"/>
        <w:jc w:val="both"/>
        <w:rPr>
          <w:rFonts w:ascii="Century Gothic" w:hAnsi="Century Gothic"/>
          <w:sz w:val="22"/>
          <w:szCs w:val="22"/>
        </w:rPr>
      </w:pPr>
      <w:r w:rsidRPr="00BC1D6F">
        <w:rPr>
          <w:rFonts w:ascii="Century Gothic" w:hAnsi="Century Gothic"/>
          <w:sz w:val="22"/>
          <w:szCs w:val="22"/>
        </w:rPr>
        <w:t>Recommendations</w:t>
      </w:r>
    </w:p>
    <w:p w14:paraId="646FD8B5" w14:textId="385AE73E" w:rsidR="008E6E85" w:rsidRPr="00FF6C76" w:rsidRDefault="008E6E85" w:rsidP="007A6D17">
      <w:pPr>
        <w:spacing w:line="276" w:lineRule="auto"/>
        <w:jc w:val="both"/>
        <w:rPr>
          <w:rFonts w:ascii="Century Gothic" w:hAnsi="Century Gothic"/>
          <w:sz w:val="22"/>
          <w:szCs w:val="22"/>
        </w:rPr>
      </w:pPr>
    </w:p>
    <w:p w14:paraId="12661715" w14:textId="71904722" w:rsidR="008E6E85" w:rsidRPr="00FF6C76" w:rsidRDefault="008E6E85" w:rsidP="007A6D17">
      <w:pPr>
        <w:spacing w:line="276" w:lineRule="auto"/>
        <w:jc w:val="both"/>
        <w:rPr>
          <w:rFonts w:ascii="Century Gothic" w:hAnsi="Century Gothic"/>
          <w:sz w:val="22"/>
          <w:szCs w:val="22"/>
        </w:rPr>
      </w:pPr>
    </w:p>
    <w:p w14:paraId="4705E0A2" w14:textId="4787754D" w:rsidR="008E6E85" w:rsidRPr="00FF6C76" w:rsidRDefault="008E6E85" w:rsidP="007A6D17">
      <w:pPr>
        <w:spacing w:line="276" w:lineRule="auto"/>
        <w:jc w:val="both"/>
        <w:rPr>
          <w:rFonts w:ascii="Century Gothic" w:hAnsi="Century Gothic"/>
          <w:sz w:val="22"/>
          <w:szCs w:val="22"/>
        </w:rPr>
      </w:pPr>
    </w:p>
    <w:p w14:paraId="32ABEBA2" w14:textId="087B6578" w:rsidR="008E6E85" w:rsidRPr="00FF6C76" w:rsidRDefault="008E6E85" w:rsidP="007A6D17">
      <w:pPr>
        <w:spacing w:line="276" w:lineRule="auto"/>
        <w:jc w:val="both"/>
        <w:rPr>
          <w:rFonts w:ascii="Century Gothic" w:hAnsi="Century Gothic"/>
          <w:sz w:val="22"/>
          <w:szCs w:val="22"/>
        </w:rPr>
      </w:pPr>
    </w:p>
    <w:p w14:paraId="00F0683E" w14:textId="21DBB61E" w:rsidR="008E6E85" w:rsidRPr="00FF6C76" w:rsidRDefault="008E6E85" w:rsidP="007A6D17">
      <w:pPr>
        <w:spacing w:line="276" w:lineRule="auto"/>
        <w:jc w:val="both"/>
        <w:rPr>
          <w:rFonts w:ascii="Century Gothic" w:hAnsi="Century Gothic"/>
          <w:sz w:val="22"/>
          <w:szCs w:val="22"/>
        </w:rPr>
      </w:pPr>
    </w:p>
    <w:p w14:paraId="04E65B18" w14:textId="14415D8F" w:rsidR="008E6E85" w:rsidRPr="00FF6C76" w:rsidRDefault="008E6E85" w:rsidP="007A6D17">
      <w:pPr>
        <w:spacing w:line="276" w:lineRule="auto"/>
        <w:jc w:val="both"/>
        <w:rPr>
          <w:rFonts w:ascii="Century Gothic" w:hAnsi="Century Gothic"/>
          <w:sz w:val="22"/>
          <w:szCs w:val="22"/>
        </w:rPr>
      </w:pPr>
    </w:p>
    <w:p w14:paraId="2AAEEAC4" w14:textId="137118B1" w:rsidR="008E6E85" w:rsidRPr="00FF6C76" w:rsidRDefault="008E6E85" w:rsidP="007A6D17">
      <w:pPr>
        <w:spacing w:line="276" w:lineRule="auto"/>
        <w:jc w:val="both"/>
        <w:rPr>
          <w:rFonts w:ascii="Century Gothic" w:hAnsi="Century Gothic"/>
          <w:sz w:val="22"/>
          <w:szCs w:val="22"/>
        </w:rPr>
      </w:pPr>
    </w:p>
    <w:p w14:paraId="74CCF1F6" w14:textId="756B60A3" w:rsidR="008E6E85" w:rsidRPr="00FF6C76" w:rsidRDefault="008E6E85" w:rsidP="007A6D17">
      <w:pPr>
        <w:spacing w:line="276" w:lineRule="auto"/>
        <w:jc w:val="both"/>
        <w:rPr>
          <w:rFonts w:ascii="Century Gothic" w:hAnsi="Century Gothic"/>
          <w:sz w:val="22"/>
          <w:szCs w:val="22"/>
        </w:rPr>
      </w:pPr>
    </w:p>
    <w:p w14:paraId="336755F6" w14:textId="1E5984E1" w:rsidR="008E6E85" w:rsidRPr="00FF6C76" w:rsidRDefault="008E6E85" w:rsidP="007A6D17">
      <w:pPr>
        <w:spacing w:line="276" w:lineRule="auto"/>
        <w:jc w:val="both"/>
        <w:rPr>
          <w:rFonts w:ascii="Century Gothic" w:hAnsi="Century Gothic"/>
          <w:sz w:val="22"/>
          <w:szCs w:val="22"/>
        </w:rPr>
      </w:pPr>
    </w:p>
    <w:p w14:paraId="6B4B5C4A" w14:textId="452077B2" w:rsidR="008E6E85" w:rsidRPr="00FF6C76" w:rsidRDefault="008E6E85" w:rsidP="007A6D17">
      <w:pPr>
        <w:spacing w:line="276" w:lineRule="auto"/>
        <w:jc w:val="both"/>
        <w:rPr>
          <w:rFonts w:ascii="Century Gothic" w:hAnsi="Century Gothic"/>
          <w:sz w:val="22"/>
          <w:szCs w:val="22"/>
        </w:rPr>
      </w:pPr>
    </w:p>
    <w:p w14:paraId="099CC866" w14:textId="5EC0B7A3" w:rsidR="008E6E85" w:rsidRPr="00FF6C76" w:rsidRDefault="008E6E85" w:rsidP="007A6D17">
      <w:pPr>
        <w:spacing w:line="276" w:lineRule="auto"/>
        <w:jc w:val="both"/>
        <w:rPr>
          <w:rFonts w:ascii="Century Gothic" w:hAnsi="Century Gothic"/>
          <w:sz w:val="22"/>
          <w:szCs w:val="22"/>
        </w:rPr>
      </w:pPr>
    </w:p>
    <w:p w14:paraId="2251C61A" w14:textId="36299DC6" w:rsidR="008E6E85" w:rsidRPr="00FF6C76" w:rsidRDefault="008E6E85" w:rsidP="007A6D17">
      <w:pPr>
        <w:spacing w:line="276" w:lineRule="auto"/>
        <w:jc w:val="both"/>
        <w:rPr>
          <w:rFonts w:ascii="Century Gothic" w:hAnsi="Century Gothic"/>
          <w:sz w:val="22"/>
          <w:szCs w:val="22"/>
        </w:rPr>
      </w:pPr>
    </w:p>
    <w:p w14:paraId="759695F5" w14:textId="2D03E0D3" w:rsidR="008E6E85" w:rsidRPr="00FF6C76" w:rsidRDefault="008E6E85" w:rsidP="007A6D17">
      <w:pPr>
        <w:spacing w:line="276" w:lineRule="auto"/>
        <w:jc w:val="both"/>
        <w:rPr>
          <w:rFonts w:ascii="Century Gothic" w:hAnsi="Century Gothic"/>
          <w:sz w:val="22"/>
          <w:szCs w:val="22"/>
        </w:rPr>
      </w:pPr>
    </w:p>
    <w:p w14:paraId="08D4CC35" w14:textId="66AAC0A7" w:rsidR="008E6E85" w:rsidRPr="00FF6C76" w:rsidRDefault="008E6E85" w:rsidP="007A6D17">
      <w:pPr>
        <w:spacing w:line="276" w:lineRule="auto"/>
        <w:jc w:val="both"/>
        <w:rPr>
          <w:rFonts w:ascii="Century Gothic" w:hAnsi="Century Gothic"/>
          <w:sz w:val="22"/>
          <w:szCs w:val="22"/>
        </w:rPr>
      </w:pPr>
    </w:p>
    <w:p w14:paraId="3FADB7BC" w14:textId="066E84D0" w:rsidR="008E6E85" w:rsidRPr="00FF6C76" w:rsidRDefault="008E6E85" w:rsidP="007A6D17">
      <w:pPr>
        <w:spacing w:line="276" w:lineRule="auto"/>
        <w:jc w:val="both"/>
        <w:rPr>
          <w:rFonts w:ascii="Century Gothic" w:hAnsi="Century Gothic"/>
          <w:sz w:val="22"/>
          <w:szCs w:val="22"/>
        </w:rPr>
      </w:pPr>
    </w:p>
    <w:p w14:paraId="58E9C70C" w14:textId="1B860D00" w:rsidR="008E6E85" w:rsidRPr="00FF6C76" w:rsidRDefault="008E6E85" w:rsidP="007A6D17">
      <w:pPr>
        <w:spacing w:line="276" w:lineRule="auto"/>
        <w:jc w:val="both"/>
        <w:rPr>
          <w:rFonts w:ascii="Century Gothic" w:hAnsi="Century Gothic"/>
          <w:sz w:val="22"/>
          <w:szCs w:val="22"/>
        </w:rPr>
      </w:pPr>
    </w:p>
    <w:p w14:paraId="00AD7339" w14:textId="3B55F5A9" w:rsidR="008E6E85" w:rsidRDefault="008E6E85" w:rsidP="007A6D17">
      <w:pPr>
        <w:spacing w:line="276" w:lineRule="auto"/>
        <w:jc w:val="both"/>
        <w:rPr>
          <w:rFonts w:ascii="Century Gothic" w:hAnsi="Century Gothic"/>
          <w:sz w:val="22"/>
          <w:szCs w:val="22"/>
        </w:rPr>
      </w:pPr>
    </w:p>
    <w:p w14:paraId="6BBE28D6" w14:textId="77777777" w:rsidR="00E828B3" w:rsidRPr="00FF6C76" w:rsidRDefault="00E828B3" w:rsidP="007A6D17">
      <w:pPr>
        <w:spacing w:line="276" w:lineRule="auto"/>
        <w:jc w:val="both"/>
        <w:rPr>
          <w:rFonts w:ascii="Century Gothic" w:hAnsi="Century Gothic"/>
          <w:sz w:val="22"/>
          <w:szCs w:val="22"/>
        </w:rPr>
      </w:pPr>
    </w:p>
    <w:p w14:paraId="7CDC04D2" w14:textId="61082248" w:rsidR="008E6E85" w:rsidRDefault="008E6E85" w:rsidP="007A6D17">
      <w:pPr>
        <w:spacing w:line="276" w:lineRule="auto"/>
        <w:jc w:val="both"/>
        <w:rPr>
          <w:rFonts w:ascii="Century Gothic" w:hAnsi="Century Gothic"/>
          <w:sz w:val="22"/>
          <w:szCs w:val="22"/>
        </w:rPr>
      </w:pPr>
    </w:p>
    <w:p w14:paraId="101814A0" w14:textId="77777777" w:rsidR="006429AC" w:rsidRPr="00FF6C76" w:rsidRDefault="006429AC" w:rsidP="007A6D17">
      <w:pPr>
        <w:spacing w:line="276" w:lineRule="auto"/>
        <w:jc w:val="both"/>
        <w:rPr>
          <w:rFonts w:ascii="Century Gothic" w:hAnsi="Century Gothic"/>
          <w:sz w:val="22"/>
          <w:szCs w:val="22"/>
        </w:rPr>
      </w:pPr>
    </w:p>
    <w:p w14:paraId="0713E7B3" w14:textId="21AC6DAF" w:rsidR="008E6E85" w:rsidRPr="00FF6C76" w:rsidRDefault="008E6E85" w:rsidP="007A6D17">
      <w:pPr>
        <w:spacing w:line="276" w:lineRule="auto"/>
        <w:jc w:val="both"/>
        <w:rPr>
          <w:rFonts w:ascii="Century Gothic" w:hAnsi="Century Gothic"/>
          <w:sz w:val="22"/>
          <w:szCs w:val="22"/>
        </w:rPr>
      </w:pPr>
    </w:p>
    <w:p w14:paraId="54C97021" w14:textId="5851E06B" w:rsidR="008E6E85" w:rsidRDefault="008E6E85" w:rsidP="001C2E00">
      <w:pPr>
        <w:pStyle w:val="ListParagraph"/>
        <w:numPr>
          <w:ilvl w:val="0"/>
          <w:numId w:val="10"/>
        </w:numPr>
        <w:spacing w:line="276" w:lineRule="auto"/>
        <w:jc w:val="both"/>
        <w:rPr>
          <w:rFonts w:ascii="Century Gothic" w:hAnsi="Century Gothic"/>
          <w:b/>
          <w:bCs/>
          <w:sz w:val="22"/>
          <w:szCs w:val="22"/>
        </w:rPr>
      </w:pPr>
      <w:r w:rsidRPr="001C2E00">
        <w:rPr>
          <w:rFonts w:ascii="Century Gothic" w:hAnsi="Century Gothic"/>
          <w:b/>
          <w:bCs/>
          <w:sz w:val="22"/>
          <w:szCs w:val="22"/>
        </w:rPr>
        <w:lastRenderedPageBreak/>
        <w:t>Introduction to Child T</w:t>
      </w:r>
    </w:p>
    <w:p w14:paraId="581B4EB3" w14:textId="77777777" w:rsidR="00715DC0" w:rsidRPr="001C2E00" w:rsidRDefault="00715DC0" w:rsidP="00715DC0">
      <w:pPr>
        <w:pStyle w:val="ListParagraph"/>
        <w:spacing w:line="276" w:lineRule="auto"/>
        <w:jc w:val="both"/>
        <w:rPr>
          <w:rFonts w:ascii="Century Gothic" w:hAnsi="Century Gothic"/>
          <w:b/>
          <w:bCs/>
          <w:sz w:val="22"/>
          <w:szCs w:val="22"/>
        </w:rPr>
      </w:pPr>
    </w:p>
    <w:p w14:paraId="45BBEE38" w14:textId="310CE9F1" w:rsidR="00CA7A5E" w:rsidRDefault="008E6E85" w:rsidP="00536B74">
      <w:pPr>
        <w:pStyle w:val="ListParagraph"/>
        <w:numPr>
          <w:ilvl w:val="1"/>
          <w:numId w:val="10"/>
        </w:numPr>
        <w:spacing w:line="276" w:lineRule="auto"/>
        <w:jc w:val="both"/>
        <w:rPr>
          <w:rFonts w:ascii="Century Gothic" w:hAnsi="Century Gothic"/>
          <w:sz w:val="22"/>
          <w:szCs w:val="22"/>
        </w:rPr>
      </w:pPr>
      <w:r w:rsidRPr="00CA7A5E">
        <w:rPr>
          <w:rFonts w:ascii="Century Gothic" w:hAnsi="Century Gothic"/>
          <w:sz w:val="22"/>
          <w:szCs w:val="22"/>
        </w:rPr>
        <w:t xml:space="preserve">Child T was </w:t>
      </w:r>
      <w:r w:rsidR="00D208F4" w:rsidRPr="00CA7A5E">
        <w:rPr>
          <w:rFonts w:ascii="Century Gothic" w:hAnsi="Century Gothic"/>
          <w:sz w:val="22"/>
          <w:szCs w:val="22"/>
        </w:rPr>
        <w:t xml:space="preserve">born </w:t>
      </w:r>
      <w:r w:rsidR="00E828B3">
        <w:rPr>
          <w:rFonts w:ascii="Century Gothic" w:hAnsi="Century Gothic"/>
          <w:sz w:val="22"/>
          <w:szCs w:val="22"/>
        </w:rPr>
        <w:t>in</w:t>
      </w:r>
      <w:r w:rsidR="00A76A3B" w:rsidRPr="00CA7A5E">
        <w:rPr>
          <w:rFonts w:ascii="Century Gothic" w:hAnsi="Century Gothic"/>
          <w:sz w:val="22"/>
          <w:szCs w:val="22"/>
        </w:rPr>
        <w:t xml:space="preserve"> </w:t>
      </w:r>
      <w:r w:rsidR="00D208F4" w:rsidRPr="00CA7A5E">
        <w:rPr>
          <w:rFonts w:ascii="Century Gothic" w:hAnsi="Century Gothic"/>
          <w:sz w:val="22"/>
          <w:szCs w:val="22"/>
        </w:rPr>
        <w:t xml:space="preserve">May 2019 and was </w:t>
      </w:r>
      <w:r w:rsidRPr="00CA7A5E">
        <w:rPr>
          <w:rFonts w:ascii="Century Gothic" w:hAnsi="Century Gothic"/>
          <w:sz w:val="22"/>
          <w:szCs w:val="22"/>
        </w:rPr>
        <w:t xml:space="preserve">the second child of the birth parents. </w:t>
      </w:r>
      <w:r w:rsidR="00D208F4" w:rsidRPr="00CA7A5E">
        <w:rPr>
          <w:rFonts w:ascii="Century Gothic" w:hAnsi="Century Gothic"/>
          <w:sz w:val="22"/>
          <w:szCs w:val="22"/>
        </w:rPr>
        <w:t xml:space="preserve">She has a dual heritage background and at the time of her death, aged 11 months, she was living solely with birth mother and her older sister. </w:t>
      </w:r>
      <w:r w:rsidR="007E6D8E" w:rsidRPr="00CA7A5E">
        <w:rPr>
          <w:rFonts w:ascii="Century Gothic" w:hAnsi="Century Gothic"/>
          <w:sz w:val="22"/>
          <w:szCs w:val="22"/>
        </w:rPr>
        <w:t xml:space="preserve">Her birth parents </w:t>
      </w:r>
      <w:r w:rsidR="00F93CAE">
        <w:rPr>
          <w:rFonts w:ascii="Century Gothic" w:hAnsi="Century Gothic"/>
          <w:sz w:val="22"/>
          <w:szCs w:val="22"/>
        </w:rPr>
        <w:t>have both</w:t>
      </w:r>
      <w:r w:rsidR="007E6D8E" w:rsidRPr="00CA7A5E">
        <w:rPr>
          <w:rFonts w:ascii="Century Gothic" w:hAnsi="Century Gothic"/>
          <w:sz w:val="22"/>
          <w:szCs w:val="22"/>
        </w:rPr>
        <w:t xml:space="preserve"> Christian and Muslim </w:t>
      </w:r>
      <w:r w:rsidR="00F93CAE">
        <w:rPr>
          <w:rFonts w:ascii="Century Gothic" w:hAnsi="Century Gothic"/>
          <w:sz w:val="22"/>
          <w:szCs w:val="22"/>
        </w:rPr>
        <w:t xml:space="preserve">faiths </w:t>
      </w:r>
      <w:r w:rsidR="007E6D8E" w:rsidRPr="00CA7A5E">
        <w:rPr>
          <w:rFonts w:ascii="Century Gothic" w:hAnsi="Century Gothic"/>
          <w:sz w:val="22"/>
          <w:szCs w:val="22"/>
        </w:rPr>
        <w:t>and the children have been brought up in both faiths at different stages of their lives. Child T</w:t>
      </w:r>
      <w:r w:rsidR="00D208F4" w:rsidRPr="00CA7A5E">
        <w:rPr>
          <w:rFonts w:ascii="Century Gothic" w:hAnsi="Century Gothic"/>
          <w:sz w:val="22"/>
          <w:szCs w:val="22"/>
        </w:rPr>
        <w:t xml:space="preserve"> was described </w:t>
      </w:r>
      <w:r w:rsidR="00130247">
        <w:rPr>
          <w:rFonts w:ascii="Century Gothic" w:hAnsi="Century Gothic"/>
          <w:sz w:val="22"/>
          <w:szCs w:val="22"/>
        </w:rPr>
        <w:t xml:space="preserve">by her birth mother </w:t>
      </w:r>
      <w:r w:rsidR="00D208F4" w:rsidRPr="00CA7A5E">
        <w:rPr>
          <w:rFonts w:ascii="Century Gothic" w:hAnsi="Century Gothic"/>
          <w:sz w:val="22"/>
          <w:szCs w:val="22"/>
        </w:rPr>
        <w:t>as a happy and healthy child who had a strong relationship with her older sister. She loved dancing, music and loved her food.</w:t>
      </w:r>
      <w:r w:rsidR="004954A0" w:rsidRPr="00CA7A5E">
        <w:rPr>
          <w:rFonts w:ascii="Century Gothic" w:hAnsi="Century Gothic"/>
          <w:sz w:val="22"/>
          <w:szCs w:val="22"/>
        </w:rPr>
        <w:t xml:space="preserve"> </w:t>
      </w:r>
      <w:r w:rsidR="00E0692C" w:rsidRPr="00CA7A5E">
        <w:rPr>
          <w:rFonts w:ascii="Century Gothic" w:hAnsi="Century Gothic"/>
          <w:sz w:val="22"/>
          <w:szCs w:val="22"/>
        </w:rPr>
        <w:t xml:space="preserve">Child T was described by her mother as </w:t>
      </w:r>
      <w:r w:rsidR="00130247">
        <w:rPr>
          <w:rFonts w:ascii="Century Gothic" w:hAnsi="Century Gothic"/>
          <w:sz w:val="22"/>
          <w:szCs w:val="22"/>
        </w:rPr>
        <w:t xml:space="preserve">being </w:t>
      </w:r>
      <w:r w:rsidR="00E0692C" w:rsidRPr="00CA7A5E">
        <w:rPr>
          <w:rFonts w:ascii="Century Gothic" w:hAnsi="Century Gothic"/>
          <w:sz w:val="22"/>
          <w:szCs w:val="22"/>
        </w:rPr>
        <w:t xml:space="preserve">a ‘big child’ for her age. </w:t>
      </w:r>
      <w:r w:rsidR="004954A0" w:rsidRPr="00CA7A5E">
        <w:rPr>
          <w:rFonts w:ascii="Century Gothic" w:hAnsi="Century Gothic"/>
          <w:sz w:val="22"/>
          <w:szCs w:val="22"/>
        </w:rPr>
        <w:t xml:space="preserve">Child T had moved to new accommodation with her birth mother and sister a month before her death. Child T and her sister have had several disruptions to their care arrangements in a very short period. </w:t>
      </w:r>
    </w:p>
    <w:p w14:paraId="30A34463" w14:textId="0621DE82" w:rsidR="00BA3093" w:rsidRDefault="00BA3093" w:rsidP="00536B74">
      <w:pPr>
        <w:pStyle w:val="ListParagraph"/>
        <w:numPr>
          <w:ilvl w:val="1"/>
          <w:numId w:val="10"/>
        </w:numPr>
        <w:spacing w:line="276" w:lineRule="auto"/>
        <w:jc w:val="both"/>
        <w:rPr>
          <w:rFonts w:ascii="Century Gothic" w:hAnsi="Century Gothic"/>
          <w:sz w:val="22"/>
          <w:szCs w:val="22"/>
        </w:rPr>
      </w:pPr>
      <w:r w:rsidRPr="00CA7A5E">
        <w:rPr>
          <w:rFonts w:ascii="Century Gothic" w:hAnsi="Century Gothic"/>
          <w:sz w:val="22"/>
          <w:szCs w:val="22"/>
        </w:rPr>
        <w:t xml:space="preserve">Child T and her sister had been known to safeguarding </w:t>
      </w:r>
      <w:r w:rsidR="009D4007">
        <w:rPr>
          <w:rFonts w:ascii="Century Gothic" w:hAnsi="Century Gothic"/>
          <w:sz w:val="22"/>
          <w:szCs w:val="22"/>
        </w:rPr>
        <w:t>agencies</w:t>
      </w:r>
      <w:r w:rsidRPr="00CA7A5E">
        <w:rPr>
          <w:rFonts w:ascii="Century Gothic" w:hAnsi="Century Gothic"/>
          <w:sz w:val="22"/>
          <w:szCs w:val="22"/>
        </w:rPr>
        <w:t xml:space="preserve"> in </w:t>
      </w:r>
      <w:r w:rsidR="00FB5108">
        <w:rPr>
          <w:rFonts w:ascii="Century Gothic" w:hAnsi="Century Gothic"/>
          <w:sz w:val="22"/>
          <w:szCs w:val="22"/>
        </w:rPr>
        <w:t>4</w:t>
      </w:r>
      <w:r w:rsidRPr="00CA7A5E">
        <w:rPr>
          <w:rFonts w:ascii="Century Gothic" w:hAnsi="Century Gothic"/>
          <w:sz w:val="22"/>
          <w:szCs w:val="22"/>
        </w:rPr>
        <w:t xml:space="preserve"> previous local authorities</w:t>
      </w:r>
      <w:r w:rsidR="00FB5108">
        <w:rPr>
          <w:rFonts w:ascii="Century Gothic" w:hAnsi="Century Gothic"/>
          <w:sz w:val="22"/>
          <w:szCs w:val="22"/>
        </w:rPr>
        <w:t>.</w:t>
      </w:r>
      <w:r w:rsidRPr="00CA7A5E">
        <w:rPr>
          <w:rFonts w:ascii="Century Gothic" w:hAnsi="Century Gothic"/>
          <w:sz w:val="22"/>
          <w:szCs w:val="22"/>
        </w:rPr>
        <w:t xml:space="preserve"> </w:t>
      </w:r>
    </w:p>
    <w:p w14:paraId="6822FC94" w14:textId="6FEF5ED3" w:rsidR="00A40418" w:rsidRDefault="00FB5108" w:rsidP="00E86BB4">
      <w:pPr>
        <w:pStyle w:val="ListParagraph"/>
        <w:numPr>
          <w:ilvl w:val="1"/>
          <w:numId w:val="10"/>
        </w:numPr>
        <w:spacing w:line="276" w:lineRule="auto"/>
        <w:jc w:val="both"/>
        <w:rPr>
          <w:rFonts w:ascii="Century Gothic" w:hAnsi="Century Gothic"/>
          <w:sz w:val="22"/>
          <w:szCs w:val="22"/>
        </w:rPr>
      </w:pPr>
      <w:r w:rsidRPr="00FB5108">
        <w:rPr>
          <w:rFonts w:ascii="Century Gothic" w:hAnsi="Century Gothic"/>
          <w:sz w:val="22"/>
          <w:szCs w:val="22"/>
        </w:rPr>
        <w:t xml:space="preserve">Child T died </w:t>
      </w:r>
      <w:r w:rsidR="008C0C18">
        <w:rPr>
          <w:rFonts w:ascii="Century Gothic" w:hAnsi="Century Gothic"/>
          <w:sz w:val="22"/>
          <w:szCs w:val="22"/>
        </w:rPr>
        <w:t>in late April 2020</w:t>
      </w:r>
      <w:r w:rsidRPr="00FB5108">
        <w:rPr>
          <w:rFonts w:ascii="Century Gothic" w:hAnsi="Century Gothic"/>
          <w:sz w:val="22"/>
          <w:szCs w:val="22"/>
        </w:rPr>
        <w:t xml:space="preserve"> from asphyxiation. She was found by her birth mother lying face down with her head wedged between the bed guard and the mattress. </w:t>
      </w:r>
    </w:p>
    <w:p w14:paraId="4EFB7C1B" w14:textId="77777777" w:rsidR="00FB5108" w:rsidRPr="00FB5108" w:rsidRDefault="00FB5108" w:rsidP="00FB5108">
      <w:pPr>
        <w:pStyle w:val="ListParagraph"/>
        <w:spacing w:line="276" w:lineRule="auto"/>
        <w:ind w:left="1080"/>
        <w:jc w:val="both"/>
        <w:rPr>
          <w:rFonts w:ascii="Century Gothic" w:hAnsi="Century Gothic"/>
          <w:sz w:val="22"/>
          <w:szCs w:val="22"/>
        </w:rPr>
      </w:pPr>
    </w:p>
    <w:p w14:paraId="36159BD4" w14:textId="41DDB12F" w:rsidR="002E226B" w:rsidRDefault="004954A0" w:rsidP="00536B74">
      <w:pPr>
        <w:pStyle w:val="ListParagraph"/>
        <w:numPr>
          <w:ilvl w:val="0"/>
          <w:numId w:val="10"/>
        </w:numPr>
        <w:spacing w:line="276" w:lineRule="auto"/>
        <w:jc w:val="both"/>
        <w:rPr>
          <w:rFonts w:ascii="Century Gothic" w:hAnsi="Century Gothic"/>
          <w:b/>
          <w:bCs/>
          <w:sz w:val="22"/>
          <w:szCs w:val="22"/>
        </w:rPr>
      </w:pPr>
      <w:r w:rsidRPr="00A40418">
        <w:rPr>
          <w:rFonts w:ascii="Century Gothic" w:hAnsi="Century Gothic"/>
          <w:b/>
          <w:bCs/>
          <w:sz w:val="22"/>
          <w:szCs w:val="22"/>
        </w:rPr>
        <w:t>Introduction to the Review</w:t>
      </w:r>
    </w:p>
    <w:p w14:paraId="70E33AC1" w14:textId="77777777" w:rsidR="00715DC0" w:rsidRPr="00A40418" w:rsidRDefault="00715DC0" w:rsidP="00715DC0">
      <w:pPr>
        <w:pStyle w:val="ListParagraph"/>
        <w:spacing w:line="276" w:lineRule="auto"/>
        <w:jc w:val="both"/>
        <w:rPr>
          <w:rFonts w:ascii="Century Gothic" w:hAnsi="Century Gothic"/>
          <w:b/>
          <w:bCs/>
          <w:sz w:val="22"/>
          <w:szCs w:val="22"/>
        </w:rPr>
      </w:pPr>
    </w:p>
    <w:p w14:paraId="2240E1E7" w14:textId="15438893" w:rsidR="00120078" w:rsidRDefault="004954A0" w:rsidP="00DF266F">
      <w:pPr>
        <w:pStyle w:val="ListParagraph"/>
        <w:numPr>
          <w:ilvl w:val="1"/>
          <w:numId w:val="10"/>
        </w:numPr>
        <w:spacing w:line="276" w:lineRule="auto"/>
        <w:jc w:val="both"/>
        <w:rPr>
          <w:rFonts w:ascii="Century Gothic" w:hAnsi="Century Gothic"/>
          <w:sz w:val="22"/>
          <w:szCs w:val="22"/>
        </w:rPr>
      </w:pPr>
      <w:r w:rsidRPr="00DF266F">
        <w:rPr>
          <w:rFonts w:ascii="Century Gothic" w:hAnsi="Century Gothic"/>
          <w:sz w:val="22"/>
          <w:szCs w:val="22"/>
        </w:rPr>
        <w:t xml:space="preserve">Following the death of Child T, a Rapid Review was </w:t>
      </w:r>
      <w:r w:rsidR="00C55D8A" w:rsidRPr="00DF266F">
        <w:rPr>
          <w:rFonts w:ascii="Century Gothic" w:hAnsi="Century Gothic"/>
          <w:sz w:val="22"/>
          <w:szCs w:val="22"/>
        </w:rPr>
        <w:t>undertaken,</w:t>
      </w:r>
      <w:r w:rsidRPr="00DF266F">
        <w:rPr>
          <w:rFonts w:ascii="Century Gothic" w:hAnsi="Century Gothic"/>
          <w:sz w:val="22"/>
          <w:szCs w:val="22"/>
        </w:rPr>
        <w:t xml:space="preserve"> and the </w:t>
      </w:r>
      <w:r w:rsidR="00BB7A96">
        <w:rPr>
          <w:rFonts w:ascii="Century Gothic" w:hAnsi="Century Gothic"/>
          <w:sz w:val="22"/>
          <w:szCs w:val="22"/>
        </w:rPr>
        <w:t xml:space="preserve">local </w:t>
      </w:r>
      <w:r w:rsidRPr="00DF266F">
        <w:rPr>
          <w:rFonts w:ascii="Century Gothic" w:hAnsi="Century Gothic"/>
          <w:sz w:val="22"/>
          <w:szCs w:val="22"/>
        </w:rPr>
        <w:t xml:space="preserve">review panel concluded that the criteria for a local child safeguarding practice review was met and that the case offered the opportunity to provide learning which could prevent similar deaths occurring in the future. </w:t>
      </w:r>
      <w:r w:rsidR="00BB7A96">
        <w:rPr>
          <w:rFonts w:ascii="Century Gothic" w:hAnsi="Century Gothic"/>
          <w:sz w:val="22"/>
          <w:szCs w:val="22"/>
        </w:rPr>
        <w:t xml:space="preserve">There is learning for several agencies across the </w:t>
      </w:r>
      <w:r w:rsidR="00FB5108">
        <w:rPr>
          <w:rFonts w:ascii="Century Gothic" w:hAnsi="Century Gothic"/>
          <w:sz w:val="22"/>
          <w:szCs w:val="22"/>
        </w:rPr>
        <w:t>4</w:t>
      </w:r>
      <w:r w:rsidR="00BB7A96">
        <w:rPr>
          <w:rFonts w:ascii="Century Gothic" w:hAnsi="Century Gothic"/>
          <w:sz w:val="22"/>
          <w:szCs w:val="22"/>
        </w:rPr>
        <w:t xml:space="preserve"> local authorities involved with the family. </w:t>
      </w:r>
      <w:r w:rsidRPr="00DF266F">
        <w:rPr>
          <w:rFonts w:ascii="Century Gothic" w:hAnsi="Century Gothic"/>
          <w:sz w:val="22"/>
          <w:szCs w:val="22"/>
        </w:rPr>
        <w:t xml:space="preserve">This review is being carried out </w:t>
      </w:r>
      <w:r w:rsidR="00454174" w:rsidRPr="00DF266F">
        <w:rPr>
          <w:rFonts w:ascii="Century Gothic" w:hAnsi="Century Gothic"/>
          <w:sz w:val="22"/>
          <w:szCs w:val="22"/>
        </w:rPr>
        <w:t>to</w:t>
      </w:r>
      <w:r w:rsidRPr="00DF266F">
        <w:rPr>
          <w:rFonts w:ascii="Century Gothic" w:hAnsi="Century Gothic"/>
          <w:sz w:val="22"/>
          <w:szCs w:val="22"/>
        </w:rPr>
        <w:t xml:space="preserve"> identify learning and is not about blame or culpability.</w:t>
      </w:r>
      <w:r w:rsidR="00992CFD">
        <w:rPr>
          <w:rFonts w:ascii="Century Gothic" w:hAnsi="Century Gothic"/>
          <w:sz w:val="22"/>
          <w:szCs w:val="22"/>
        </w:rPr>
        <w:t xml:space="preserve"> </w:t>
      </w:r>
    </w:p>
    <w:p w14:paraId="7181B0D1" w14:textId="162EF385" w:rsidR="004954A0" w:rsidRDefault="004954A0" w:rsidP="00120078">
      <w:pPr>
        <w:pStyle w:val="ListParagraph"/>
        <w:spacing w:line="276" w:lineRule="auto"/>
        <w:ind w:left="1080"/>
        <w:jc w:val="both"/>
        <w:rPr>
          <w:rFonts w:ascii="Century Gothic" w:hAnsi="Century Gothic"/>
          <w:sz w:val="22"/>
          <w:szCs w:val="22"/>
        </w:rPr>
      </w:pPr>
      <w:r w:rsidRPr="00DF266F">
        <w:rPr>
          <w:rFonts w:ascii="Century Gothic" w:hAnsi="Century Gothic"/>
          <w:sz w:val="22"/>
          <w:szCs w:val="22"/>
        </w:rPr>
        <w:t xml:space="preserve"> </w:t>
      </w:r>
    </w:p>
    <w:p w14:paraId="1C2FA6C8" w14:textId="16E40062" w:rsidR="00120078" w:rsidRPr="00715DC0" w:rsidRDefault="004954A0" w:rsidP="00715DC0">
      <w:pPr>
        <w:pStyle w:val="ListParagraph"/>
        <w:numPr>
          <w:ilvl w:val="0"/>
          <w:numId w:val="10"/>
        </w:numPr>
        <w:spacing w:line="276" w:lineRule="auto"/>
        <w:jc w:val="both"/>
        <w:rPr>
          <w:rFonts w:ascii="Century Gothic" w:hAnsi="Century Gothic"/>
          <w:sz w:val="22"/>
          <w:szCs w:val="22"/>
        </w:rPr>
      </w:pPr>
      <w:r w:rsidRPr="00715DC0">
        <w:rPr>
          <w:rFonts w:ascii="Century Gothic" w:hAnsi="Century Gothic"/>
          <w:b/>
          <w:bCs/>
          <w:sz w:val="22"/>
          <w:szCs w:val="22"/>
        </w:rPr>
        <w:t>Methodology and Process</w:t>
      </w:r>
    </w:p>
    <w:p w14:paraId="6A4DB320" w14:textId="77777777" w:rsidR="00715DC0" w:rsidRPr="00120078" w:rsidRDefault="00715DC0" w:rsidP="00715DC0">
      <w:pPr>
        <w:pStyle w:val="ListParagraph"/>
        <w:spacing w:line="276" w:lineRule="auto"/>
        <w:ind w:left="360"/>
        <w:jc w:val="both"/>
        <w:rPr>
          <w:rFonts w:ascii="Century Gothic" w:hAnsi="Century Gothic"/>
          <w:sz w:val="22"/>
          <w:szCs w:val="22"/>
        </w:rPr>
      </w:pPr>
    </w:p>
    <w:p w14:paraId="0DF2454C" w14:textId="2D0E4BD3" w:rsidR="00394177" w:rsidRPr="00120078" w:rsidRDefault="004954A0" w:rsidP="00E44CD0">
      <w:pPr>
        <w:pStyle w:val="ListParagraph"/>
        <w:numPr>
          <w:ilvl w:val="1"/>
          <w:numId w:val="10"/>
        </w:numPr>
        <w:spacing w:line="276" w:lineRule="auto"/>
        <w:jc w:val="both"/>
        <w:rPr>
          <w:rFonts w:ascii="Century Gothic" w:hAnsi="Century Gothic"/>
          <w:sz w:val="22"/>
          <w:szCs w:val="22"/>
        </w:rPr>
      </w:pPr>
      <w:r w:rsidRPr="00120078">
        <w:rPr>
          <w:rFonts w:ascii="Century Gothic" w:hAnsi="Century Gothic"/>
          <w:sz w:val="22"/>
          <w:szCs w:val="22"/>
        </w:rPr>
        <w:t xml:space="preserve">Child T’s birth parents </w:t>
      </w:r>
      <w:r w:rsidR="00757311">
        <w:rPr>
          <w:rFonts w:ascii="Century Gothic" w:hAnsi="Century Gothic"/>
          <w:sz w:val="22"/>
          <w:szCs w:val="22"/>
        </w:rPr>
        <w:t xml:space="preserve">were separately </w:t>
      </w:r>
      <w:r w:rsidR="00371A84">
        <w:rPr>
          <w:rFonts w:ascii="Century Gothic" w:hAnsi="Century Gothic"/>
          <w:sz w:val="22"/>
          <w:szCs w:val="22"/>
        </w:rPr>
        <w:t>i</w:t>
      </w:r>
      <w:r w:rsidR="00B4202A">
        <w:rPr>
          <w:rFonts w:ascii="Century Gothic" w:hAnsi="Century Gothic"/>
          <w:sz w:val="22"/>
          <w:szCs w:val="22"/>
        </w:rPr>
        <w:t xml:space="preserve">nterviewed </w:t>
      </w:r>
      <w:r w:rsidR="00757311" w:rsidRPr="00120078">
        <w:rPr>
          <w:rFonts w:ascii="Century Gothic" w:hAnsi="Century Gothic"/>
          <w:sz w:val="22"/>
          <w:szCs w:val="22"/>
        </w:rPr>
        <w:t>in the presence of their social worker</w:t>
      </w:r>
      <w:r w:rsidR="00B4202A">
        <w:rPr>
          <w:rFonts w:ascii="Century Gothic" w:hAnsi="Century Gothic"/>
          <w:sz w:val="22"/>
          <w:szCs w:val="22"/>
        </w:rPr>
        <w:t xml:space="preserve"> for</w:t>
      </w:r>
      <w:r w:rsidRPr="00120078">
        <w:rPr>
          <w:rFonts w:ascii="Century Gothic" w:hAnsi="Century Gothic"/>
          <w:sz w:val="22"/>
          <w:szCs w:val="22"/>
        </w:rPr>
        <w:t xml:space="preserve"> this review</w:t>
      </w:r>
      <w:r w:rsidR="0038375E">
        <w:rPr>
          <w:rFonts w:ascii="Century Gothic" w:hAnsi="Century Gothic"/>
          <w:sz w:val="22"/>
          <w:szCs w:val="22"/>
        </w:rPr>
        <w:t xml:space="preserve">. </w:t>
      </w:r>
      <w:r w:rsidR="000A7BA2" w:rsidRPr="00120078">
        <w:rPr>
          <w:rFonts w:ascii="Century Gothic" w:hAnsi="Century Gothic"/>
          <w:sz w:val="22"/>
          <w:szCs w:val="22"/>
        </w:rPr>
        <w:t xml:space="preserve">These discussions were understandably difficult for both parents and their contribution to this review </w:t>
      </w:r>
      <w:r w:rsidR="006429AC">
        <w:rPr>
          <w:rFonts w:ascii="Century Gothic" w:hAnsi="Century Gothic"/>
          <w:sz w:val="22"/>
          <w:szCs w:val="22"/>
        </w:rPr>
        <w:t>was</w:t>
      </w:r>
      <w:r w:rsidR="000A7BA2" w:rsidRPr="00120078">
        <w:rPr>
          <w:rFonts w:ascii="Century Gothic" w:hAnsi="Century Gothic"/>
          <w:sz w:val="22"/>
          <w:szCs w:val="22"/>
        </w:rPr>
        <w:t xml:space="preserve"> welcomed. </w:t>
      </w:r>
    </w:p>
    <w:p w14:paraId="34403C4D" w14:textId="1CC4DDBA" w:rsidR="00465293" w:rsidRDefault="000A7BA2" w:rsidP="00E44CD0">
      <w:pPr>
        <w:pStyle w:val="ListParagraph"/>
        <w:numPr>
          <w:ilvl w:val="1"/>
          <w:numId w:val="10"/>
        </w:numPr>
        <w:spacing w:line="276" w:lineRule="auto"/>
        <w:jc w:val="both"/>
        <w:rPr>
          <w:rFonts w:ascii="Century Gothic" w:hAnsi="Century Gothic"/>
          <w:sz w:val="22"/>
          <w:szCs w:val="22"/>
        </w:rPr>
      </w:pPr>
      <w:r w:rsidRPr="00E44CD0">
        <w:rPr>
          <w:rFonts w:ascii="Century Gothic" w:hAnsi="Century Gothic"/>
          <w:sz w:val="22"/>
          <w:szCs w:val="22"/>
        </w:rPr>
        <w:t xml:space="preserve">A review panel was established and chaired by a senior representative from the police. </w:t>
      </w:r>
      <w:r w:rsidR="000D1676" w:rsidRPr="00E44CD0">
        <w:rPr>
          <w:rFonts w:ascii="Century Gothic" w:hAnsi="Century Gothic"/>
          <w:sz w:val="22"/>
          <w:szCs w:val="22"/>
        </w:rPr>
        <w:t xml:space="preserve">The review panel requested the </w:t>
      </w:r>
      <w:r w:rsidR="00454174" w:rsidRPr="00E44CD0">
        <w:rPr>
          <w:rFonts w:ascii="Century Gothic" w:hAnsi="Century Gothic"/>
          <w:sz w:val="22"/>
          <w:szCs w:val="22"/>
        </w:rPr>
        <w:t>tim</w:t>
      </w:r>
      <w:r w:rsidR="00454174">
        <w:rPr>
          <w:rFonts w:ascii="Century Gothic" w:hAnsi="Century Gothic"/>
          <w:sz w:val="22"/>
          <w:szCs w:val="22"/>
        </w:rPr>
        <w:t>ing</w:t>
      </w:r>
      <w:r w:rsidR="000D1676" w:rsidRPr="00E44CD0">
        <w:rPr>
          <w:rFonts w:ascii="Century Gothic" w:hAnsi="Century Gothic"/>
          <w:sz w:val="22"/>
          <w:szCs w:val="22"/>
        </w:rPr>
        <w:t xml:space="preserve"> of the review should be from November 2019 up to the death </w:t>
      </w:r>
      <w:r w:rsidR="005179DA">
        <w:rPr>
          <w:rFonts w:ascii="Century Gothic" w:hAnsi="Century Gothic"/>
          <w:sz w:val="22"/>
          <w:szCs w:val="22"/>
        </w:rPr>
        <w:t xml:space="preserve">of </w:t>
      </w:r>
      <w:r w:rsidR="000D1676" w:rsidRPr="00E44CD0">
        <w:rPr>
          <w:rFonts w:ascii="Century Gothic" w:hAnsi="Century Gothic"/>
          <w:sz w:val="22"/>
          <w:szCs w:val="22"/>
        </w:rPr>
        <w:t>Child T in April 2020. The</w:t>
      </w:r>
      <w:r w:rsidR="005179DA">
        <w:rPr>
          <w:rFonts w:ascii="Century Gothic" w:hAnsi="Century Gothic"/>
          <w:sz w:val="22"/>
          <w:szCs w:val="22"/>
        </w:rPr>
        <w:t xml:space="preserve">re has been </w:t>
      </w:r>
      <w:r w:rsidR="000D1676" w:rsidRPr="00E44CD0">
        <w:rPr>
          <w:rFonts w:ascii="Century Gothic" w:hAnsi="Century Gothic"/>
          <w:sz w:val="22"/>
          <w:szCs w:val="22"/>
        </w:rPr>
        <w:t xml:space="preserve">significant involvement of </w:t>
      </w:r>
      <w:r w:rsidR="009D4007">
        <w:rPr>
          <w:rFonts w:ascii="Century Gothic" w:hAnsi="Century Gothic"/>
          <w:sz w:val="22"/>
          <w:szCs w:val="22"/>
        </w:rPr>
        <w:t xml:space="preserve">agencies in </w:t>
      </w:r>
      <w:r w:rsidR="000D1676" w:rsidRPr="00E44CD0">
        <w:rPr>
          <w:rFonts w:ascii="Century Gothic" w:hAnsi="Century Gothic"/>
          <w:sz w:val="22"/>
          <w:szCs w:val="22"/>
        </w:rPr>
        <w:t xml:space="preserve">2 previous local authorities which is relevant to the children’s lived experience and </w:t>
      </w:r>
      <w:r w:rsidR="00176FE0">
        <w:rPr>
          <w:rFonts w:ascii="Century Gothic" w:hAnsi="Century Gothic"/>
          <w:sz w:val="22"/>
          <w:szCs w:val="22"/>
        </w:rPr>
        <w:t xml:space="preserve">are </w:t>
      </w:r>
      <w:r w:rsidR="000D1676" w:rsidRPr="00E44CD0">
        <w:rPr>
          <w:rFonts w:ascii="Century Gothic" w:hAnsi="Century Gothic"/>
          <w:sz w:val="22"/>
          <w:szCs w:val="22"/>
        </w:rPr>
        <w:t xml:space="preserve">included in the timeline of the review. </w:t>
      </w:r>
      <w:r w:rsidR="005A0115" w:rsidRPr="00E44CD0">
        <w:rPr>
          <w:rFonts w:ascii="Century Gothic" w:hAnsi="Century Gothic"/>
          <w:sz w:val="22"/>
          <w:szCs w:val="22"/>
        </w:rPr>
        <w:t xml:space="preserve">The information provided by </w:t>
      </w:r>
      <w:r w:rsidR="00D64B8F" w:rsidRPr="00E44CD0">
        <w:rPr>
          <w:rFonts w:ascii="Century Gothic" w:hAnsi="Century Gothic"/>
          <w:sz w:val="22"/>
          <w:szCs w:val="22"/>
        </w:rPr>
        <w:t>the parents and agencies involved with the family</w:t>
      </w:r>
      <w:r w:rsidR="00E53F93" w:rsidRPr="00E44CD0">
        <w:rPr>
          <w:rFonts w:ascii="Century Gothic" w:hAnsi="Century Gothic"/>
          <w:sz w:val="22"/>
          <w:szCs w:val="22"/>
        </w:rPr>
        <w:t>,</w:t>
      </w:r>
      <w:r w:rsidR="00D64B8F" w:rsidRPr="00E44CD0">
        <w:rPr>
          <w:rFonts w:ascii="Century Gothic" w:hAnsi="Century Gothic"/>
          <w:sz w:val="22"/>
          <w:szCs w:val="22"/>
        </w:rPr>
        <w:t xml:space="preserve"> formed the basis of the r</w:t>
      </w:r>
      <w:r w:rsidR="00E53F93" w:rsidRPr="00E44CD0">
        <w:rPr>
          <w:rFonts w:ascii="Century Gothic" w:hAnsi="Century Gothic"/>
          <w:sz w:val="22"/>
          <w:szCs w:val="22"/>
        </w:rPr>
        <w:t xml:space="preserve">eview and some agencies provided </w:t>
      </w:r>
      <w:r w:rsidR="006D5F48" w:rsidRPr="00E44CD0">
        <w:rPr>
          <w:rFonts w:ascii="Century Gothic" w:hAnsi="Century Gothic"/>
          <w:sz w:val="22"/>
          <w:szCs w:val="22"/>
        </w:rPr>
        <w:t xml:space="preserve">chronologies and </w:t>
      </w:r>
      <w:r w:rsidR="00E53F93" w:rsidRPr="00E44CD0">
        <w:rPr>
          <w:rFonts w:ascii="Century Gothic" w:hAnsi="Century Gothic"/>
          <w:sz w:val="22"/>
          <w:szCs w:val="22"/>
        </w:rPr>
        <w:t xml:space="preserve">analysis of their involvement and what </w:t>
      </w:r>
      <w:r w:rsidR="001C7DA2">
        <w:rPr>
          <w:rFonts w:ascii="Century Gothic" w:hAnsi="Century Gothic"/>
          <w:sz w:val="22"/>
          <w:szCs w:val="22"/>
        </w:rPr>
        <w:t xml:space="preserve">improvements they have made as a result of this </w:t>
      </w:r>
      <w:r w:rsidR="009D4007">
        <w:rPr>
          <w:rFonts w:ascii="Century Gothic" w:hAnsi="Century Gothic"/>
          <w:sz w:val="22"/>
          <w:szCs w:val="22"/>
        </w:rPr>
        <w:t>situation.</w:t>
      </w:r>
      <w:r w:rsidR="001C7DA2">
        <w:rPr>
          <w:rFonts w:ascii="Century Gothic" w:hAnsi="Century Gothic"/>
          <w:sz w:val="22"/>
          <w:szCs w:val="22"/>
        </w:rPr>
        <w:t xml:space="preserve"> </w:t>
      </w:r>
      <w:r w:rsidR="00486BFC" w:rsidRPr="00E44CD0">
        <w:rPr>
          <w:rFonts w:ascii="Century Gothic" w:hAnsi="Century Gothic"/>
          <w:sz w:val="22"/>
          <w:szCs w:val="22"/>
        </w:rPr>
        <w:t>Interviews took place with r</w:t>
      </w:r>
      <w:r w:rsidRPr="00E44CD0">
        <w:rPr>
          <w:rFonts w:ascii="Century Gothic" w:hAnsi="Century Gothic"/>
          <w:sz w:val="22"/>
          <w:szCs w:val="22"/>
        </w:rPr>
        <w:t xml:space="preserve">epresentatives from the safeguarding </w:t>
      </w:r>
      <w:r w:rsidR="00486BFC" w:rsidRPr="00E44CD0">
        <w:rPr>
          <w:rFonts w:ascii="Century Gothic" w:hAnsi="Century Gothic"/>
          <w:sz w:val="22"/>
          <w:szCs w:val="22"/>
        </w:rPr>
        <w:t xml:space="preserve">and voluntary sector </w:t>
      </w:r>
      <w:r w:rsidRPr="00E44CD0">
        <w:rPr>
          <w:rFonts w:ascii="Century Gothic" w:hAnsi="Century Gothic"/>
          <w:sz w:val="22"/>
          <w:szCs w:val="22"/>
        </w:rPr>
        <w:t>partners</w:t>
      </w:r>
      <w:r w:rsidR="00486BFC" w:rsidRPr="00E44CD0">
        <w:rPr>
          <w:rFonts w:ascii="Century Gothic" w:hAnsi="Century Gothic"/>
          <w:sz w:val="22"/>
          <w:szCs w:val="22"/>
        </w:rPr>
        <w:t>.</w:t>
      </w:r>
    </w:p>
    <w:p w14:paraId="3961D249" w14:textId="1A542745" w:rsidR="00465293" w:rsidRDefault="002963FE" w:rsidP="00E44CD0">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lastRenderedPageBreak/>
        <w:t xml:space="preserve">There </w:t>
      </w:r>
      <w:r w:rsidR="007A4E73">
        <w:rPr>
          <w:rFonts w:ascii="Century Gothic" w:hAnsi="Century Gothic"/>
          <w:sz w:val="22"/>
          <w:szCs w:val="22"/>
        </w:rPr>
        <w:t>was some anxiety in the v</w:t>
      </w:r>
      <w:r w:rsidR="00916B03" w:rsidRPr="00E44CD0">
        <w:rPr>
          <w:rFonts w:ascii="Century Gothic" w:hAnsi="Century Gothic"/>
          <w:sz w:val="22"/>
          <w:szCs w:val="22"/>
        </w:rPr>
        <w:t xml:space="preserve">oluntary and community sector </w:t>
      </w:r>
      <w:r w:rsidR="007A4E73">
        <w:rPr>
          <w:rFonts w:ascii="Century Gothic" w:hAnsi="Century Gothic"/>
          <w:sz w:val="22"/>
          <w:szCs w:val="22"/>
        </w:rPr>
        <w:t xml:space="preserve">being </w:t>
      </w:r>
      <w:r w:rsidR="00916B03" w:rsidRPr="00E44CD0">
        <w:rPr>
          <w:rFonts w:ascii="Century Gothic" w:hAnsi="Century Gothic"/>
          <w:sz w:val="22"/>
          <w:szCs w:val="22"/>
        </w:rPr>
        <w:t>involved in the process of a child safeguarding practice review</w:t>
      </w:r>
      <w:r w:rsidR="007A4E73">
        <w:rPr>
          <w:rFonts w:ascii="Century Gothic" w:hAnsi="Century Gothic"/>
          <w:sz w:val="22"/>
          <w:szCs w:val="22"/>
        </w:rPr>
        <w:t xml:space="preserve"> owing to their lack of experience of the process yet </w:t>
      </w:r>
      <w:r w:rsidR="00916B03" w:rsidRPr="00E44CD0">
        <w:rPr>
          <w:rFonts w:ascii="Century Gothic" w:hAnsi="Century Gothic"/>
          <w:sz w:val="22"/>
          <w:szCs w:val="22"/>
        </w:rPr>
        <w:t>there has been a good level of engagement and subsequent learning</w:t>
      </w:r>
      <w:r w:rsidR="007A4E73">
        <w:rPr>
          <w:rFonts w:ascii="Century Gothic" w:hAnsi="Century Gothic"/>
          <w:sz w:val="22"/>
          <w:szCs w:val="22"/>
        </w:rPr>
        <w:t xml:space="preserve">. </w:t>
      </w:r>
      <w:r w:rsidR="00916B03" w:rsidRPr="00E44CD0">
        <w:rPr>
          <w:rFonts w:ascii="Century Gothic" w:hAnsi="Century Gothic"/>
          <w:sz w:val="22"/>
          <w:szCs w:val="22"/>
        </w:rPr>
        <w:t xml:space="preserve"> </w:t>
      </w:r>
    </w:p>
    <w:p w14:paraId="4C556BE0" w14:textId="0443D57D" w:rsidR="000A7BA2" w:rsidRDefault="000D1676" w:rsidP="00E44CD0">
      <w:pPr>
        <w:pStyle w:val="ListParagraph"/>
        <w:numPr>
          <w:ilvl w:val="1"/>
          <w:numId w:val="10"/>
        </w:numPr>
        <w:spacing w:line="276" w:lineRule="auto"/>
        <w:jc w:val="both"/>
        <w:rPr>
          <w:rFonts w:ascii="Century Gothic" w:hAnsi="Century Gothic"/>
          <w:sz w:val="22"/>
          <w:szCs w:val="22"/>
        </w:rPr>
      </w:pPr>
      <w:r w:rsidRPr="00E44CD0">
        <w:rPr>
          <w:rFonts w:ascii="Century Gothic" w:hAnsi="Century Gothic"/>
          <w:sz w:val="22"/>
          <w:szCs w:val="22"/>
        </w:rPr>
        <w:t xml:space="preserve">For the purposes of the review, the local authorities involved with the family are in chronological order </w:t>
      </w:r>
      <w:r w:rsidR="00023CAB" w:rsidRPr="00E44CD0">
        <w:rPr>
          <w:rFonts w:ascii="Century Gothic" w:hAnsi="Century Gothic"/>
          <w:sz w:val="22"/>
          <w:szCs w:val="22"/>
        </w:rPr>
        <w:t xml:space="preserve">and recorded </w:t>
      </w:r>
      <w:r w:rsidRPr="00E44CD0">
        <w:rPr>
          <w:rFonts w:ascii="Century Gothic" w:hAnsi="Century Gothic"/>
          <w:sz w:val="22"/>
          <w:szCs w:val="22"/>
        </w:rPr>
        <w:t>as ‘local authorities 1,</w:t>
      </w:r>
      <w:r w:rsidR="00BE6728" w:rsidRPr="00E44CD0">
        <w:rPr>
          <w:rFonts w:ascii="Century Gothic" w:hAnsi="Century Gothic"/>
          <w:sz w:val="22"/>
          <w:szCs w:val="22"/>
        </w:rPr>
        <w:t xml:space="preserve"> </w:t>
      </w:r>
      <w:r w:rsidRPr="00E44CD0">
        <w:rPr>
          <w:rFonts w:ascii="Century Gothic" w:hAnsi="Century Gothic"/>
          <w:sz w:val="22"/>
          <w:szCs w:val="22"/>
        </w:rPr>
        <w:t>2</w:t>
      </w:r>
      <w:r w:rsidR="00BE6728" w:rsidRPr="00E44CD0">
        <w:rPr>
          <w:rFonts w:ascii="Century Gothic" w:hAnsi="Century Gothic"/>
          <w:sz w:val="22"/>
          <w:szCs w:val="22"/>
        </w:rPr>
        <w:t xml:space="preserve">, </w:t>
      </w:r>
      <w:r w:rsidRPr="00E44CD0">
        <w:rPr>
          <w:rFonts w:ascii="Century Gothic" w:hAnsi="Century Gothic"/>
          <w:sz w:val="22"/>
          <w:szCs w:val="22"/>
        </w:rPr>
        <w:t>3</w:t>
      </w:r>
      <w:r w:rsidR="00C41640" w:rsidRPr="00E44CD0">
        <w:rPr>
          <w:rFonts w:ascii="Century Gothic" w:hAnsi="Century Gothic"/>
          <w:sz w:val="22"/>
          <w:szCs w:val="22"/>
        </w:rPr>
        <w:t>, 4</w:t>
      </w:r>
      <w:r w:rsidR="00BE6728" w:rsidRPr="00E44CD0">
        <w:rPr>
          <w:rFonts w:ascii="Century Gothic" w:hAnsi="Century Gothic"/>
          <w:sz w:val="22"/>
          <w:szCs w:val="22"/>
        </w:rPr>
        <w:t xml:space="preserve"> and </w:t>
      </w:r>
      <w:r w:rsidR="00C41640" w:rsidRPr="00E44CD0">
        <w:rPr>
          <w:rFonts w:ascii="Century Gothic" w:hAnsi="Century Gothic"/>
          <w:sz w:val="22"/>
          <w:szCs w:val="22"/>
        </w:rPr>
        <w:t>5</w:t>
      </w:r>
      <w:r w:rsidRPr="00E44CD0">
        <w:rPr>
          <w:rFonts w:ascii="Century Gothic" w:hAnsi="Century Gothic"/>
          <w:sz w:val="22"/>
          <w:szCs w:val="22"/>
        </w:rPr>
        <w:t>’</w:t>
      </w:r>
      <w:r w:rsidR="00E6196D" w:rsidRPr="00E44CD0">
        <w:rPr>
          <w:rFonts w:ascii="Century Gothic" w:hAnsi="Century Gothic"/>
          <w:sz w:val="22"/>
          <w:szCs w:val="22"/>
        </w:rPr>
        <w:t xml:space="preserve">. </w:t>
      </w:r>
      <w:r w:rsidR="00916B03" w:rsidRPr="00E44CD0">
        <w:rPr>
          <w:rFonts w:ascii="Century Gothic" w:hAnsi="Century Gothic"/>
          <w:sz w:val="22"/>
          <w:szCs w:val="22"/>
        </w:rPr>
        <w:t>The agencies that provided chronologies and an analysis of practice included:</w:t>
      </w:r>
    </w:p>
    <w:p w14:paraId="2108CC15" w14:textId="77777777" w:rsidR="00E44CD0" w:rsidRPr="00E44CD0" w:rsidRDefault="00E44CD0" w:rsidP="00E44CD0">
      <w:pPr>
        <w:pStyle w:val="ListParagraph"/>
        <w:spacing w:line="276" w:lineRule="auto"/>
        <w:ind w:left="1080"/>
        <w:jc w:val="both"/>
        <w:rPr>
          <w:rFonts w:ascii="Century Gothic" w:hAnsi="Century Gothic"/>
          <w:sz w:val="22"/>
          <w:szCs w:val="22"/>
        </w:rPr>
      </w:pPr>
    </w:p>
    <w:p w14:paraId="399785C5" w14:textId="7D5002DE" w:rsidR="00916B03" w:rsidRPr="00FF6C76" w:rsidRDefault="0088596F" w:rsidP="007A6D17">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Children’s social care</w:t>
      </w:r>
      <w:r w:rsidR="00731EA4" w:rsidRPr="00FF6C76">
        <w:rPr>
          <w:rFonts w:ascii="Century Gothic" w:hAnsi="Century Gothic"/>
          <w:sz w:val="22"/>
          <w:szCs w:val="22"/>
        </w:rPr>
        <w:t xml:space="preserve"> in </w:t>
      </w:r>
      <w:r w:rsidR="008F0C41">
        <w:rPr>
          <w:rFonts w:ascii="Century Gothic" w:hAnsi="Century Gothic"/>
          <w:sz w:val="22"/>
          <w:szCs w:val="22"/>
        </w:rPr>
        <w:t>three</w:t>
      </w:r>
      <w:r w:rsidR="00731EA4" w:rsidRPr="00FF6C76">
        <w:rPr>
          <w:rFonts w:ascii="Century Gothic" w:hAnsi="Century Gothic"/>
          <w:sz w:val="22"/>
          <w:szCs w:val="22"/>
        </w:rPr>
        <w:t xml:space="preserve"> local authorities</w:t>
      </w:r>
    </w:p>
    <w:p w14:paraId="53AEACBB" w14:textId="770548EC" w:rsidR="00731EA4" w:rsidRPr="00FF6C76" w:rsidRDefault="008F0C41" w:rsidP="007A6D17">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S</w:t>
      </w:r>
      <w:r w:rsidR="00731EA4" w:rsidRPr="00FF6C76">
        <w:rPr>
          <w:rFonts w:ascii="Century Gothic" w:hAnsi="Century Gothic"/>
          <w:sz w:val="22"/>
          <w:szCs w:val="22"/>
        </w:rPr>
        <w:t>ervices from the voluntary and community sector</w:t>
      </w:r>
    </w:p>
    <w:p w14:paraId="6899A665" w14:textId="5E48B7DC" w:rsidR="00731EA4" w:rsidRPr="00FF6C76" w:rsidRDefault="00731EA4"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Health</w:t>
      </w:r>
      <w:r w:rsidR="009278C8">
        <w:rPr>
          <w:rFonts w:ascii="Century Gothic" w:hAnsi="Century Gothic"/>
          <w:sz w:val="22"/>
          <w:szCs w:val="22"/>
        </w:rPr>
        <w:t xml:space="preserve"> Visiting Services</w:t>
      </w:r>
      <w:r w:rsidRPr="00FF6C76">
        <w:rPr>
          <w:rFonts w:ascii="Century Gothic" w:hAnsi="Century Gothic"/>
          <w:sz w:val="22"/>
          <w:szCs w:val="22"/>
        </w:rPr>
        <w:t xml:space="preserve"> in </w:t>
      </w:r>
      <w:r w:rsidR="008F0C41">
        <w:rPr>
          <w:rFonts w:ascii="Century Gothic" w:hAnsi="Century Gothic"/>
          <w:sz w:val="22"/>
          <w:szCs w:val="22"/>
        </w:rPr>
        <w:t>two</w:t>
      </w:r>
      <w:r w:rsidRPr="00FF6C76">
        <w:rPr>
          <w:rFonts w:ascii="Century Gothic" w:hAnsi="Century Gothic"/>
          <w:sz w:val="22"/>
          <w:szCs w:val="22"/>
        </w:rPr>
        <w:t xml:space="preserve"> NHS Trust areas</w:t>
      </w:r>
    </w:p>
    <w:p w14:paraId="65BC35CD" w14:textId="545DDDD8" w:rsidR="00916B03" w:rsidRPr="00FF6C76" w:rsidRDefault="00731EA4"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Police</w:t>
      </w:r>
    </w:p>
    <w:p w14:paraId="3B734A65" w14:textId="064FDC87" w:rsidR="000D1676" w:rsidRPr="00454174" w:rsidRDefault="00731EA4" w:rsidP="00536B74">
      <w:pPr>
        <w:pStyle w:val="ListParagraph"/>
        <w:numPr>
          <w:ilvl w:val="0"/>
          <w:numId w:val="2"/>
        </w:numPr>
        <w:spacing w:line="276" w:lineRule="auto"/>
        <w:jc w:val="both"/>
        <w:rPr>
          <w:rFonts w:ascii="Century Gothic" w:hAnsi="Century Gothic"/>
          <w:b/>
          <w:bCs/>
          <w:sz w:val="22"/>
          <w:szCs w:val="22"/>
        </w:rPr>
      </w:pPr>
      <w:r w:rsidRPr="00E6196D">
        <w:rPr>
          <w:rFonts w:ascii="Century Gothic" w:hAnsi="Century Gothic"/>
          <w:sz w:val="22"/>
          <w:szCs w:val="22"/>
        </w:rPr>
        <w:t>A</w:t>
      </w:r>
      <w:r w:rsidR="00214AEF" w:rsidRPr="00E6196D">
        <w:rPr>
          <w:rFonts w:ascii="Century Gothic" w:hAnsi="Century Gothic"/>
          <w:sz w:val="22"/>
          <w:szCs w:val="22"/>
        </w:rPr>
        <w:t>n</w:t>
      </w:r>
      <w:r w:rsidRPr="00E6196D">
        <w:rPr>
          <w:rFonts w:ascii="Century Gothic" w:hAnsi="Century Gothic"/>
          <w:sz w:val="22"/>
          <w:szCs w:val="22"/>
        </w:rPr>
        <w:t xml:space="preserve"> NHS Hospital Trust</w:t>
      </w:r>
    </w:p>
    <w:p w14:paraId="40CBED7A" w14:textId="23C6B050" w:rsidR="00454174" w:rsidRPr="00165AF1" w:rsidRDefault="00454174" w:rsidP="00536B74">
      <w:pPr>
        <w:pStyle w:val="ListParagraph"/>
        <w:numPr>
          <w:ilvl w:val="0"/>
          <w:numId w:val="2"/>
        </w:numPr>
        <w:spacing w:line="276" w:lineRule="auto"/>
        <w:jc w:val="both"/>
        <w:rPr>
          <w:rFonts w:ascii="Century Gothic" w:hAnsi="Century Gothic"/>
          <w:b/>
          <w:bCs/>
          <w:sz w:val="22"/>
          <w:szCs w:val="22"/>
        </w:rPr>
      </w:pPr>
      <w:r>
        <w:rPr>
          <w:rFonts w:ascii="Century Gothic" w:hAnsi="Century Gothic"/>
          <w:sz w:val="22"/>
          <w:szCs w:val="22"/>
        </w:rPr>
        <w:t>Community Safety Partnership</w:t>
      </w:r>
    </w:p>
    <w:p w14:paraId="67D28767" w14:textId="77777777" w:rsidR="00165AF1" w:rsidRPr="00165AF1" w:rsidRDefault="00165AF1" w:rsidP="00165AF1">
      <w:pPr>
        <w:pStyle w:val="ListParagraph"/>
        <w:spacing w:line="276" w:lineRule="auto"/>
        <w:jc w:val="both"/>
        <w:rPr>
          <w:rFonts w:ascii="Century Gothic" w:hAnsi="Century Gothic"/>
          <w:b/>
          <w:bCs/>
          <w:sz w:val="22"/>
          <w:szCs w:val="22"/>
        </w:rPr>
      </w:pPr>
    </w:p>
    <w:p w14:paraId="0C097D90" w14:textId="4035ED1F" w:rsidR="00214AEF" w:rsidRPr="00165AF1" w:rsidRDefault="00214AEF" w:rsidP="00165AF1">
      <w:pPr>
        <w:pStyle w:val="ListParagraph"/>
        <w:numPr>
          <w:ilvl w:val="0"/>
          <w:numId w:val="10"/>
        </w:numPr>
        <w:spacing w:line="276" w:lineRule="auto"/>
        <w:jc w:val="both"/>
        <w:rPr>
          <w:rFonts w:ascii="Century Gothic" w:hAnsi="Century Gothic"/>
          <w:b/>
          <w:bCs/>
          <w:sz w:val="22"/>
          <w:szCs w:val="22"/>
        </w:rPr>
      </w:pPr>
      <w:r w:rsidRPr="00165AF1">
        <w:rPr>
          <w:rFonts w:ascii="Century Gothic" w:hAnsi="Century Gothic"/>
          <w:b/>
          <w:bCs/>
          <w:sz w:val="22"/>
          <w:szCs w:val="22"/>
        </w:rPr>
        <w:t>Key Practice Episodes</w:t>
      </w:r>
    </w:p>
    <w:p w14:paraId="7AE77385" w14:textId="0C9A55E0" w:rsidR="00F0471E" w:rsidRPr="004B5754" w:rsidRDefault="00501276" w:rsidP="004B5754">
      <w:pPr>
        <w:spacing w:line="276" w:lineRule="auto"/>
        <w:jc w:val="both"/>
        <w:rPr>
          <w:rFonts w:ascii="Century Gothic" w:hAnsi="Century Gothic"/>
          <w:b/>
          <w:bCs/>
          <w:sz w:val="22"/>
          <w:szCs w:val="22"/>
        </w:rPr>
      </w:pPr>
      <w:r w:rsidRPr="004B5754">
        <w:rPr>
          <w:rFonts w:ascii="Century Gothic" w:hAnsi="Century Gothic"/>
          <w:b/>
          <w:bCs/>
          <w:sz w:val="22"/>
          <w:szCs w:val="22"/>
        </w:rPr>
        <w:t>May 2017</w:t>
      </w:r>
      <w:r w:rsidR="00D04AF4">
        <w:rPr>
          <w:rFonts w:ascii="Century Gothic" w:hAnsi="Century Gothic"/>
          <w:b/>
          <w:bCs/>
          <w:sz w:val="22"/>
          <w:szCs w:val="22"/>
        </w:rPr>
        <w:t xml:space="preserve"> – April 2020</w:t>
      </w:r>
    </w:p>
    <w:p w14:paraId="1EC6349B" w14:textId="4BDEAA1B" w:rsidR="00454174" w:rsidRPr="00454174" w:rsidRDefault="00501276" w:rsidP="003C55DB">
      <w:pPr>
        <w:pStyle w:val="ListParagraph"/>
        <w:numPr>
          <w:ilvl w:val="1"/>
          <w:numId w:val="10"/>
        </w:numPr>
        <w:spacing w:line="276" w:lineRule="auto"/>
        <w:jc w:val="both"/>
        <w:rPr>
          <w:rFonts w:ascii="Century Gothic" w:hAnsi="Century Gothic"/>
          <w:b/>
          <w:bCs/>
          <w:sz w:val="22"/>
          <w:szCs w:val="22"/>
        </w:rPr>
      </w:pPr>
      <w:r w:rsidRPr="00591F92">
        <w:rPr>
          <w:rFonts w:ascii="Century Gothic" w:hAnsi="Century Gothic"/>
          <w:sz w:val="22"/>
          <w:szCs w:val="22"/>
        </w:rPr>
        <w:t>Child T’s sister</w:t>
      </w:r>
      <w:r w:rsidR="00486BFC" w:rsidRPr="00591F92">
        <w:rPr>
          <w:rFonts w:ascii="Century Gothic" w:hAnsi="Century Gothic"/>
          <w:sz w:val="22"/>
          <w:szCs w:val="22"/>
        </w:rPr>
        <w:t xml:space="preserve"> </w:t>
      </w:r>
      <w:r w:rsidR="00D04AF4" w:rsidRPr="00591F92">
        <w:rPr>
          <w:rFonts w:ascii="Century Gothic" w:hAnsi="Century Gothic"/>
          <w:sz w:val="22"/>
          <w:szCs w:val="22"/>
        </w:rPr>
        <w:t>had been the subject of child protection and child in need plan</w:t>
      </w:r>
      <w:r w:rsidR="006E32C8">
        <w:rPr>
          <w:rFonts w:ascii="Century Gothic" w:hAnsi="Century Gothic"/>
          <w:sz w:val="22"/>
          <w:szCs w:val="22"/>
        </w:rPr>
        <w:t>ning</w:t>
      </w:r>
      <w:r w:rsidR="00D04AF4" w:rsidRPr="00591F92">
        <w:rPr>
          <w:rFonts w:ascii="Century Gothic" w:hAnsi="Century Gothic"/>
          <w:sz w:val="22"/>
          <w:szCs w:val="22"/>
        </w:rPr>
        <w:t xml:space="preserve"> in local authority’s 1 and 2</w:t>
      </w:r>
      <w:r w:rsidR="00BB7A96">
        <w:rPr>
          <w:rFonts w:ascii="Century Gothic" w:hAnsi="Century Gothic"/>
          <w:sz w:val="22"/>
          <w:szCs w:val="22"/>
        </w:rPr>
        <w:t xml:space="preserve">. </w:t>
      </w:r>
      <w:r w:rsidR="00D04AF4" w:rsidRPr="00591F92">
        <w:rPr>
          <w:rFonts w:ascii="Century Gothic" w:hAnsi="Century Gothic"/>
          <w:sz w:val="22"/>
          <w:szCs w:val="22"/>
        </w:rPr>
        <w:t>This was primarily owing to birth mother’s lack of engagement with services</w:t>
      </w:r>
      <w:r w:rsidR="002963FE" w:rsidRPr="00591F92">
        <w:rPr>
          <w:rFonts w:ascii="Century Gothic" w:hAnsi="Century Gothic"/>
          <w:sz w:val="22"/>
          <w:szCs w:val="22"/>
        </w:rPr>
        <w:t xml:space="preserve"> and professionals</w:t>
      </w:r>
      <w:r w:rsidR="00D04AF4" w:rsidRPr="00591F92">
        <w:rPr>
          <w:rFonts w:ascii="Century Gothic" w:hAnsi="Century Gothic"/>
          <w:sz w:val="22"/>
          <w:szCs w:val="22"/>
        </w:rPr>
        <w:t>, the conditions of the home environment, birth mother’s ongoing use of drugs and her association with adults that placed the child at risk of harm. Ongoing concerns remained about</w:t>
      </w:r>
      <w:r w:rsidR="009D4007">
        <w:rPr>
          <w:rFonts w:ascii="Century Gothic" w:hAnsi="Century Gothic"/>
          <w:sz w:val="22"/>
          <w:szCs w:val="22"/>
        </w:rPr>
        <w:t xml:space="preserve"> </w:t>
      </w:r>
      <w:r w:rsidR="00D04AF4" w:rsidRPr="00591F92">
        <w:rPr>
          <w:rFonts w:ascii="Century Gothic" w:hAnsi="Century Gothic"/>
          <w:sz w:val="22"/>
          <w:szCs w:val="22"/>
        </w:rPr>
        <w:t xml:space="preserve">domestic abuse perpetrated by birth father. </w:t>
      </w:r>
      <w:r w:rsidR="003C55DB">
        <w:rPr>
          <w:rFonts w:ascii="Century Gothic" w:hAnsi="Century Gothic"/>
          <w:sz w:val="22"/>
          <w:szCs w:val="22"/>
        </w:rPr>
        <w:t>Evidence from the police indicated that birth mother w</w:t>
      </w:r>
      <w:r w:rsidR="003C55DB" w:rsidRPr="00FC088A">
        <w:rPr>
          <w:rFonts w:ascii="Century Gothic" w:hAnsi="Century Gothic"/>
          <w:sz w:val="22"/>
          <w:szCs w:val="22"/>
        </w:rPr>
        <w:t xml:space="preserve">as a high-risk victim of domestic abuse </w:t>
      </w:r>
      <w:r w:rsidR="003C55DB">
        <w:rPr>
          <w:rFonts w:ascii="Century Gothic" w:hAnsi="Century Gothic"/>
          <w:sz w:val="22"/>
          <w:szCs w:val="22"/>
        </w:rPr>
        <w:t xml:space="preserve">and homicide with allegations of </w:t>
      </w:r>
      <w:r w:rsidR="003C55DB" w:rsidRPr="00FC088A">
        <w:rPr>
          <w:rFonts w:ascii="Century Gothic" w:hAnsi="Century Gothic"/>
          <w:sz w:val="22"/>
          <w:szCs w:val="22"/>
        </w:rPr>
        <w:t xml:space="preserve">domestic and sexual violence </w:t>
      </w:r>
      <w:r w:rsidR="003C55DB">
        <w:rPr>
          <w:rFonts w:ascii="Century Gothic" w:hAnsi="Century Gothic"/>
          <w:sz w:val="22"/>
          <w:szCs w:val="22"/>
        </w:rPr>
        <w:t>over</w:t>
      </w:r>
      <w:r w:rsidR="003C55DB" w:rsidRPr="00FC088A">
        <w:rPr>
          <w:rFonts w:ascii="Century Gothic" w:hAnsi="Century Gothic"/>
          <w:sz w:val="22"/>
          <w:szCs w:val="22"/>
        </w:rPr>
        <w:t xml:space="preserve"> </w:t>
      </w:r>
      <w:r w:rsidR="003C55DB">
        <w:rPr>
          <w:rFonts w:ascii="Century Gothic" w:hAnsi="Century Gothic"/>
          <w:sz w:val="22"/>
          <w:szCs w:val="22"/>
        </w:rPr>
        <w:t>a 4-year period.</w:t>
      </w:r>
      <w:r w:rsidR="001C7DA2">
        <w:rPr>
          <w:rFonts w:ascii="Century Gothic" w:hAnsi="Century Gothic"/>
          <w:sz w:val="22"/>
          <w:szCs w:val="22"/>
        </w:rPr>
        <w:t xml:space="preserve"> Birth father has never been convicted of any domestically abusive behaviour</w:t>
      </w:r>
      <w:r w:rsidR="006429AC">
        <w:rPr>
          <w:rFonts w:ascii="Century Gothic" w:hAnsi="Century Gothic"/>
          <w:sz w:val="22"/>
          <w:szCs w:val="22"/>
        </w:rPr>
        <w:t xml:space="preserve"> and strongly denie</w:t>
      </w:r>
      <w:r w:rsidR="006A1129">
        <w:rPr>
          <w:rFonts w:ascii="Century Gothic" w:hAnsi="Century Gothic"/>
          <w:sz w:val="22"/>
          <w:szCs w:val="22"/>
        </w:rPr>
        <w:t>d</w:t>
      </w:r>
      <w:r w:rsidR="006429AC">
        <w:rPr>
          <w:rFonts w:ascii="Century Gothic" w:hAnsi="Century Gothic"/>
          <w:sz w:val="22"/>
          <w:szCs w:val="22"/>
        </w:rPr>
        <w:t xml:space="preserve"> acting in a domestically abusive way</w:t>
      </w:r>
      <w:r w:rsidR="001C7DA2">
        <w:rPr>
          <w:rFonts w:ascii="Century Gothic" w:hAnsi="Century Gothic"/>
          <w:sz w:val="22"/>
          <w:szCs w:val="22"/>
        </w:rPr>
        <w:t>.</w:t>
      </w:r>
    </w:p>
    <w:p w14:paraId="78DADD65" w14:textId="2024EEE6" w:rsidR="003C55DB" w:rsidRPr="003C55DB" w:rsidRDefault="00E828B3" w:rsidP="003C55DB">
      <w:pPr>
        <w:pStyle w:val="ListParagraph"/>
        <w:numPr>
          <w:ilvl w:val="1"/>
          <w:numId w:val="10"/>
        </w:numPr>
        <w:spacing w:line="276" w:lineRule="auto"/>
        <w:jc w:val="both"/>
        <w:rPr>
          <w:rFonts w:ascii="Century Gothic" w:hAnsi="Century Gothic"/>
          <w:b/>
          <w:bCs/>
          <w:sz w:val="22"/>
          <w:szCs w:val="22"/>
        </w:rPr>
      </w:pPr>
      <w:r>
        <w:rPr>
          <w:rFonts w:ascii="Century Gothic" w:hAnsi="Century Gothic"/>
          <w:sz w:val="22"/>
          <w:szCs w:val="22"/>
        </w:rPr>
        <w:t xml:space="preserve">The level of risk prompted local authority 1 to seek legal advice with a recommendation to support birth father with a private law application so he could resume full care of the </w:t>
      </w:r>
      <w:r w:rsidR="006A1129">
        <w:rPr>
          <w:rFonts w:ascii="Century Gothic" w:hAnsi="Century Gothic"/>
          <w:sz w:val="22"/>
          <w:szCs w:val="22"/>
        </w:rPr>
        <w:t xml:space="preserve">eldest </w:t>
      </w:r>
      <w:r>
        <w:rPr>
          <w:rFonts w:ascii="Century Gothic" w:hAnsi="Century Gothic"/>
          <w:sz w:val="22"/>
          <w:szCs w:val="22"/>
        </w:rPr>
        <w:t xml:space="preserve">child. </w:t>
      </w:r>
    </w:p>
    <w:p w14:paraId="0EC93AAC" w14:textId="73F31AA8" w:rsidR="00D3241A" w:rsidRDefault="00F83E49" w:rsidP="00C87ED7">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A</w:t>
      </w:r>
      <w:r w:rsidR="00201326">
        <w:rPr>
          <w:rFonts w:ascii="Century Gothic" w:hAnsi="Century Gothic"/>
          <w:sz w:val="22"/>
          <w:szCs w:val="22"/>
        </w:rPr>
        <w:t xml:space="preserve"> </w:t>
      </w:r>
      <w:r w:rsidR="006D03BB">
        <w:rPr>
          <w:rFonts w:ascii="Century Gothic" w:hAnsi="Century Gothic"/>
          <w:sz w:val="22"/>
          <w:szCs w:val="22"/>
        </w:rPr>
        <w:t xml:space="preserve">pre-birth </w:t>
      </w:r>
      <w:r w:rsidR="00201326">
        <w:rPr>
          <w:rFonts w:ascii="Century Gothic" w:hAnsi="Century Gothic"/>
          <w:sz w:val="22"/>
          <w:szCs w:val="22"/>
        </w:rPr>
        <w:t xml:space="preserve">assessment </w:t>
      </w:r>
      <w:r>
        <w:rPr>
          <w:rFonts w:ascii="Century Gothic" w:hAnsi="Century Gothic"/>
          <w:sz w:val="22"/>
          <w:szCs w:val="22"/>
        </w:rPr>
        <w:t xml:space="preserve">was undertaken </w:t>
      </w:r>
      <w:r w:rsidR="00117791">
        <w:rPr>
          <w:rFonts w:ascii="Century Gothic" w:hAnsi="Century Gothic"/>
          <w:sz w:val="22"/>
          <w:szCs w:val="22"/>
        </w:rPr>
        <w:t xml:space="preserve">on Child T </w:t>
      </w:r>
      <w:r>
        <w:rPr>
          <w:rFonts w:ascii="Century Gothic" w:hAnsi="Century Gothic"/>
          <w:sz w:val="22"/>
          <w:szCs w:val="22"/>
        </w:rPr>
        <w:t xml:space="preserve">in local authority 2 </w:t>
      </w:r>
      <w:r w:rsidR="00536B74">
        <w:rPr>
          <w:rFonts w:ascii="Century Gothic" w:hAnsi="Century Gothic"/>
          <w:sz w:val="22"/>
          <w:szCs w:val="22"/>
        </w:rPr>
        <w:t xml:space="preserve">with the recommendation of an initial child </w:t>
      </w:r>
      <w:r w:rsidR="00CF25C9">
        <w:rPr>
          <w:rFonts w:ascii="Century Gothic" w:hAnsi="Century Gothic"/>
          <w:sz w:val="22"/>
          <w:szCs w:val="22"/>
        </w:rPr>
        <w:t xml:space="preserve">in need plan leading to an initial child </w:t>
      </w:r>
      <w:r w:rsidR="00536B74">
        <w:rPr>
          <w:rFonts w:ascii="Century Gothic" w:hAnsi="Century Gothic"/>
          <w:sz w:val="22"/>
          <w:szCs w:val="22"/>
        </w:rPr>
        <w:t xml:space="preserve">protection conference at 30 weeks gestation. </w:t>
      </w:r>
      <w:r>
        <w:rPr>
          <w:rFonts w:ascii="Century Gothic" w:hAnsi="Century Gothic"/>
          <w:sz w:val="22"/>
          <w:szCs w:val="22"/>
        </w:rPr>
        <w:t>B</w:t>
      </w:r>
      <w:r w:rsidR="00EB0436">
        <w:rPr>
          <w:rFonts w:ascii="Century Gothic" w:hAnsi="Century Gothic"/>
          <w:sz w:val="22"/>
          <w:szCs w:val="22"/>
        </w:rPr>
        <w:t xml:space="preserve">irth mother did not engage with the child in need plan and the threshold was </w:t>
      </w:r>
      <w:r w:rsidR="00454174">
        <w:rPr>
          <w:rFonts w:ascii="Century Gothic" w:hAnsi="Century Gothic"/>
          <w:sz w:val="22"/>
          <w:szCs w:val="22"/>
        </w:rPr>
        <w:t xml:space="preserve">considered </w:t>
      </w:r>
      <w:r w:rsidR="00EB0436">
        <w:rPr>
          <w:rFonts w:ascii="Century Gothic" w:hAnsi="Century Gothic"/>
          <w:sz w:val="22"/>
          <w:szCs w:val="22"/>
        </w:rPr>
        <w:t>not met for an initial child protection case conference despite the recommendation from the assessment.</w:t>
      </w:r>
    </w:p>
    <w:p w14:paraId="0CE71EF0" w14:textId="6AD20911" w:rsidR="006C156C" w:rsidRPr="00EB0436" w:rsidRDefault="001B1E55" w:rsidP="00536B74">
      <w:pPr>
        <w:pStyle w:val="ListParagraph"/>
        <w:numPr>
          <w:ilvl w:val="1"/>
          <w:numId w:val="10"/>
        </w:numPr>
        <w:spacing w:line="276" w:lineRule="auto"/>
        <w:jc w:val="both"/>
        <w:rPr>
          <w:rFonts w:ascii="Century Gothic" w:hAnsi="Century Gothic"/>
          <w:b/>
          <w:bCs/>
          <w:sz w:val="22"/>
          <w:szCs w:val="22"/>
        </w:rPr>
      </w:pPr>
      <w:r w:rsidRPr="0092536A">
        <w:rPr>
          <w:rFonts w:ascii="Century Gothic" w:hAnsi="Century Gothic"/>
          <w:sz w:val="22"/>
          <w:szCs w:val="22"/>
        </w:rPr>
        <w:t xml:space="preserve">Child T was born in </w:t>
      </w:r>
      <w:r w:rsidR="00CE56C2" w:rsidRPr="0092536A">
        <w:rPr>
          <w:rFonts w:ascii="Century Gothic" w:hAnsi="Century Gothic"/>
          <w:sz w:val="22"/>
          <w:szCs w:val="22"/>
        </w:rPr>
        <w:t>May</w:t>
      </w:r>
      <w:r w:rsidRPr="0092536A">
        <w:rPr>
          <w:rFonts w:ascii="Century Gothic" w:hAnsi="Century Gothic"/>
          <w:sz w:val="22"/>
          <w:szCs w:val="22"/>
        </w:rPr>
        <w:t xml:space="preserve"> 2019</w:t>
      </w:r>
      <w:r w:rsidR="000246FB" w:rsidRPr="0092536A">
        <w:rPr>
          <w:rFonts w:ascii="Century Gothic" w:hAnsi="Century Gothic"/>
          <w:sz w:val="22"/>
          <w:szCs w:val="22"/>
        </w:rPr>
        <w:t xml:space="preserve"> and was cared for by birth mother</w:t>
      </w:r>
      <w:r w:rsidR="007F1513">
        <w:rPr>
          <w:rFonts w:ascii="Century Gothic" w:hAnsi="Century Gothic"/>
          <w:sz w:val="22"/>
          <w:szCs w:val="22"/>
        </w:rPr>
        <w:t xml:space="preserve"> and </w:t>
      </w:r>
      <w:r w:rsidR="00E055FE">
        <w:rPr>
          <w:rFonts w:ascii="Century Gothic" w:hAnsi="Century Gothic"/>
          <w:sz w:val="22"/>
          <w:szCs w:val="22"/>
        </w:rPr>
        <w:t xml:space="preserve">children’s social care </w:t>
      </w:r>
      <w:r w:rsidR="00F83E49">
        <w:rPr>
          <w:rFonts w:ascii="Century Gothic" w:hAnsi="Century Gothic"/>
          <w:sz w:val="22"/>
          <w:szCs w:val="22"/>
        </w:rPr>
        <w:t xml:space="preserve">in </w:t>
      </w:r>
      <w:r w:rsidR="007F1513">
        <w:rPr>
          <w:rFonts w:ascii="Century Gothic" w:hAnsi="Century Gothic"/>
          <w:sz w:val="22"/>
          <w:szCs w:val="22"/>
        </w:rPr>
        <w:t>l</w:t>
      </w:r>
      <w:r w:rsidR="00B25A81" w:rsidRPr="0092536A">
        <w:rPr>
          <w:rFonts w:ascii="Century Gothic" w:hAnsi="Century Gothic"/>
          <w:sz w:val="22"/>
          <w:szCs w:val="22"/>
        </w:rPr>
        <w:t xml:space="preserve">ocal authority 2 closed Child T’s case in </w:t>
      </w:r>
      <w:r w:rsidR="00305F5D" w:rsidRPr="0092536A">
        <w:rPr>
          <w:rFonts w:ascii="Century Gothic" w:hAnsi="Century Gothic"/>
          <w:sz w:val="22"/>
          <w:szCs w:val="22"/>
        </w:rPr>
        <w:t>July 2019</w:t>
      </w:r>
      <w:r w:rsidR="00CF25C9">
        <w:rPr>
          <w:rFonts w:ascii="Century Gothic" w:hAnsi="Century Gothic"/>
          <w:sz w:val="22"/>
          <w:szCs w:val="22"/>
        </w:rPr>
        <w:t>.</w:t>
      </w:r>
      <w:r w:rsidR="00DF31CF" w:rsidRPr="0092536A">
        <w:rPr>
          <w:rFonts w:ascii="Century Gothic" w:hAnsi="Century Gothic"/>
          <w:sz w:val="22"/>
          <w:szCs w:val="22"/>
        </w:rPr>
        <w:t xml:space="preserve"> </w:t>
      </w:r>
    </w:p>
    <w:p w14:paraId="5C554A38" w14:textId="6BFC3F83" w:rsidR="00BD0D3F" w:rsidRDefault="00EB0436" w:rsidP="00EB0436">
      <w:pPr>
        <w:pStyle w:val="ListParagraph"/>
        <w:numPr>
          <w:ilvl w:val="1"/>
          <w:numId w:val="10"/>
        </w:numPr>
        <w:spacing w:line="276" w:lineRule="auto"/>
        <w:jc w:val="both"/>
        <w:rPr>
          <w:rFonts w:ascii="Century Gothic" w:hAnsi="Century Gothic"/>
          <w:sz w:val="22"/>
          <w:szCs w:val="22"/>
        </w:rPr>
      </w:pPr>
      <w:r w:rsidRPr="00EB0436">
        <w:rPr>
          <w:rFonts w:ascii="Century Gothic" w:hAnsi="Century Gothic"/>
          <w:sz w:val="22"/>
          <w:szCs w:val="22"/>
        </w:rPr>
        <w:t>A further domestic abuse incident occurred in October 2019 which prom</w:t>
      </w:r>
      <w:r>
        <w:rPr>
          <w:rFonts w:ascii="Century Gothic" w:hAnsi="Century Gothic"/>
          <w:sz w:val="22"/>
          <w:szCs w:val="22"/>
        </w:rPr>
        <w:t>pted</w:t>
      </w:r>
      <w:r w:rsidRPr="00EB0436">
        <w:rPr>
          <w:rFonts w:ascii="Century Gothic" w:hAnsi="Century Gothic"/>
          <w:sz w:val="22"/>
          <w:szCs w:val="22"/>
        </w:rPr>
        <w:t xml:space="preserve"> birth mother to apply for a</w:t>
      </w:r>
      <w:r>
        <w:rPr>
          <w:rFonts w:ascii="Century Gothic" w:hAnsi="Century Gothic"/>
          <w:sz w:val="22"/>
          <w:szCs w:val="22"/>
        </w:rPr>
        <w:t xml:space="preserve"> </w:t>
      </w:r>
      <w:r w:rsidR="00ED0B8C" w:rsidRPr="00EB0436">
        <w:rPr>
          <w:rFonts w:ascii="Century Gothic" w:hAnsi="Century Gothic"/>
          <w:sz w:val="22"/>
          <w:szCs w:val="22"/>
        </w:rPr>
        <w:t>Non-molestation Order</w:t>
      </w:r>
      <w:r w:rsidR="002015D1">
        <w:rPr>
          <w:rStyle w:val="FootnoteReference"/>
          <w:rFonts w:ascii="Century Gothic" w:hAnsi="Century Gothic"/>
          <w:sz w:val="22"/>
          <w:szCs w:val="22"/>
        </w:rPr>
        <w:footnoteReference w:id="1"/>
      </w:r>
      <w:r>
        <w:rPr>
          <w:rFonts w:ascii="Century Gothic" w:hAnsi="Century Gothic"/>
          <w:sz w:val="22"/>
          <w:szCs w:val="22"/>
        </w:rPr>
        <w:t xml:space="preserve"> and </w:t>
      </w:r>
      <w:r w:rsidRPr="00FC088A">
        <w:rPr>
          <w:rFonts w:ascii="Century Gothic" w:hAnsi="Century Gothic"/>
          <w:sz w:val="22"/>
          <w:szCs w:val="22"/>
        </w:rPr>
        <w:lastRenderedPageBreak/>
        <w:t>Prohibited</w:t>
      </w:r>
      <w:r w:rsidR="00D31706" w:rsidRPr="00FC088A">
        <w:rPr>
          <w:rFonts w:ascii="Century Gothic" w:hAnsi="Century Gothic"/>
          <w:sz w:val="22"/>
          <w:szCs w:val="22"/>
        </w:rPr>
        <w:t xml:space="preserve"> Steps Order</w:t>
      </w:r>
      <w:r w:rsidR="00454174">
        <w:rPr>
          <w:rStyle w:val="FootnoteReference"/>
          <w:rFonts w:ascii="Century Gothic" w:hAnsi="Century Gothic"/>
          <w:sz w:val="22"/>
          <w:szCs w:val="22"/>
        </w:rPr>
        <w:footnoteReference w:id="2"/>
      </w:r>
      <w:r w:rsidR="00D31706" w:rsidRPr="00FC088A">
        <w:rPr>
          <w:rFonts w:ascii="Century Gothic" w:hAnsi="Century Gothic"/>
          <w:sz w:val="22"/>
          <w:szCs w:val="22"/>
        </w:rPr>
        <w:t xml:space="preserve"> and she resumed the full </w:t>
      </w:r>
      <w:r w:rsidR="005A04FF" w:rsidRPr="00FC088A">
        <w:rPr>
          <w:rFonts w:ascii="Century Gothic" w:hAnsi="Century Gothic"/>
          <w:sz w:val="22"/>
          <w:szCs w:val="22"/>
        </w:rPr>
        <w:t xml:space="preserve">sole </w:t>
      </w:r>
      <w:r w:rsidR="00D31706" w:rsidRPr="00FC088A">
        <w:rPr>
          <w:rFonts w:ascii="Century Gothic" w:hAnsi="Century Gothic"/>
          <w:sz w:val="22"/>
          <w:szCs w:val="22"/>
        </w:rPr>
        <w:t>care of both children</w:t>
      </w:r>
      <w:r w:rsidR="004A1A6C">
        <w:rPr>
          <w:rFonts w:ascii="Century Gothic" w:hAnsi="Century Gothic"/>
          <w:sz w:val="22"/>
          <w:szCs w:val="22"/>
        </w:rPr>
        <w:t xml:space="preserve"> and moved to </w:t>
      </w:r>
      <w:r w:rsidR="00294E3B">
        <w:rPr>
          <w:rFonts w:ascii="Century Gothic" w:hAnsi="Century Gothic"/>
          <w:sz w:val="22"/>
          <w:szCs w:val="22"/>
        </w:rPr>
        <w:t>a r</w:t>
      </w:r>
      <w:r w:rsidR="004A1A6C">
        <w:rPr>
          <w:rFonts w:ascii="Century Gothic" w:hAnsi="Century Gothic"/>
          <w:sz w:val="22"/>
          <w:szCs w:val="22"/>
        </w:rPr>
        <w:t>efuge in local authority 3</w:t>
      </w:r>
      <w:r w:rsidR="00D31706" w:rsidRPr="00FC088A">
        <w:rPr>
          <w:rFonts w:ascii="Century Gothic" w:hAnsi="Century Gothic"/>
          <w:sz w:val="22"/>
          <w:szCs w:val="22"/>
        </w:rPr>
        <w:t xml:space="preserve">. This was </w:t>
      </w:r>
      <w:r w:rsidR="000835B0">
        <w:rPr>
          <w:rFonts w:ascii="Century Gothic" w:hAnsi="Century Gothic"/>
          <w:sz w:val="22"/>
          <w:szCs w:val="22"/>
        </w:rPr>
        <w:t xml:space="preserve">reported by birth father as </w:t>
      </w:r>
      <w:r w:rsidR="00D31706" w:rsidRPr="00FC088A">
        <w:rPr>
          <w:rFonts w:ascii="Century Gothic" w:hAnsi="Century Gothic"/>
          <w:sz w:val="22"/>
          <w:szCs w:val="22"/>
        </w:rPr>
        <w:t xml:space="preserve">the last time that </w:t>
      </w:r>
      <w:r w:rsidR="00BD0D3F">
        <w:rPr>
          <w:rFonts w:ascii="Century Gothic" w:hAnsi="Century Gothic"/>
          <w:sz w:val="22"/>
          <w:szCs w:val="22"/>
        </w:rPr>
        <w:t xml:space="preserve">he saw </w:t>
      </w:r>
      <w:r w:rsidR="00D31706" w:rsidRPr="00FC088A">
        <w:rPr>
          <w:rFonts w:ascii="Century Gothic" w:hAnsi="Century Gothic"/>
          <w:sz w:val="22"/>
          <w:szCs w:val="22"/>
        </w:rPr>
        <w:t>Child T alive</w:t>
      </w:r>
      <w:r w:rsidR="00D151D2" w:rsidRPr="00FC088A">
        <w:rPr>
          <w:rFonts w:ascii="Century Gothic" w:hAnsi="Century Gothic"/>
          <w:sz w:val="22"/>
          <w:szCs w:val="22"/>
        </w:rPr>
        <w:t>.</w:t>
      </w:r>
    </w:p>
    <w:p w14:paraId="0431872F" w14:textId="4DFE6539" w:rsidR="00FC088A" w:rsidRDefault="00E055FE"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Children’s social care </w:t>
      </w:r>
      <w:r w:rsidR="00FB5108">
        <w:rPr>
          <w:rFonts w:ascii="Century Gothic" w:hAnsi="Century Gothic"/>
          <w:sz w:val="22"/>
          <w:szCs w:val="22"/>
        </w:rPr>
        <w:t>in l</w:t>
      </w:r>
      <w:r w:rsidR="0002134A" w:rsidRPr="00FC088A">
        <w:rPr>
          <w:rFonts w:ascii="Century Gothic" w:hAnsi="Century Gothic"/>
          <w:sz w:val="22"/>
          <w:szCs w:val="22"/>
        </w:rPr>
        <w:t xml:space="preserve">ocal authority 3 </w:t>
      </w:r>
      <w:r w:rsidR="00C63A97" w:rsidRPr="00FC088A">
        <w:rPr>
          <w:rFonts w:ascii="Century Gothic" w:hAnsi="Century Gothic"/>
          <w:sz w:val="22"/>
          <w:szCs w:val="22"/>
        </w:rPr>
        <w:t xml:space="preserve">were of the </w:t>
      </w:r>
      <w:r w:rsidR="00915E2D" w:rsidRPr="00FC088A">
        <w:rPr>
          <w:rFonts w:ascii="Century Gothic" w:hAnsi="Century Gothic"/>
          <w:sz w:val="22"/>
          <w:szCs w:val="22"/>
        </w:rPr>
        <w:t>understanding</w:t>
      </w:r>
      <w:r w:rsidR="00C63A97" w:rsidRPr="00FC088A">
        <w:rPr>
          <w:rFonts w:ascii="Century Gothic" w:hAnsi="Century Gothic"/>
          <w:sz w:val="22"/>
          <w:szCs w:val="22"/>
        </w:rPr>
        <w:t xml:space="preserve"> that </w:t>
      </w:r>
      <w:r w:rsidR="00915E2D" w:rsidRPr="00FC088A">
        <w:rPr>
          <w:rFonts w:ascii="Century Gothic" w:hAnsi="Century Gothic"/>
          <w:sz w:val="22"/>
          <w:szCs w:val="22"/>
        </w:rPr>
        <w:t>the family still had an allocated social worker in local authority 2</w:t>
      </w:r>
      <w:r w:rsidR="000D75F9">
        <w:rPr>
          <w:rFonts w:ascii="Century Gothic" w:hAnsi="Century Gothic"/>
          <w:sz w:val="22"/>
          <w:szCs w:val="22"/>
        </w:rPr>
        <w:t xml:space="preserve"> and an assessment was being undertaken</w:t>
      </w:r>
      <w:r w:rsidR="00E23AB2">
        <w:rPr>
          <w:rFonts w:ascii="Century Gothic" w:hAnsi="Century Gothic"/>
          <w:sz w:val="22"/>
          <w:szCs w:val="22"/>
        </w:rPr>
        <w:t xml:space="preserve"> so they did not progress any work</w:t>
      </w:r>
      <w:r w:rsidR="00BB7A96">
        <w:rPr>
          <w:rFonts w:ascii="Century Gothic" w:hAnsi="Century Gothic"/>
          <w:sz w:val="22"/>
          <w:szCs w:val="22"/>
        </w:rPr>
        <w:t xml:space="preserve"> with the family. </w:t>
      </w:r>
      <w:r w:rsidR="00E23AB2">
        <w:rPr>
          <w:rFonts w:ascii="Century Gothic" w:hAnsi="Century Gothic"/>
          <w:sz w:val="22"/>
          <w:szCs w:val="22"/>
        </w:rPr>
        <w:t xml:space="preserve"> </w:t>
      </w:r>
      <w:r w:rsidR="00CF746F" w:rsidRPr="00FC088A">
        <w:rPr>
          <w:rFonts w:ascii="Century Gothic" w:hAnsi="Century Gothic"/>
          <w:sz w:val="22"/>
          <w:szCs w:val="22"/>
        </w:rPr>
        <w:t xml:space="preserve">Information provided by local authority 2 </w:t>
      </w:r>
      <w:r w:rsidR="0074262E" w:rsidRPr="00FC088A">
        <w:rPr>
          <w:rFonts w:ascii="Century Gothic" w:hAnsi="Century Gothic"/>
          <w:sz w:val="22"/>
          <w:szCs w:val="22"/>
        </w:rPr>
        <w:t>confirm</w:t>
      </w:r>
      <w:r w:rsidR="00FB5108">
        <w:rPr>
          <w:rFonts w:ascii="Century Gothic" w:hAnsi="Century Gothic"/>
          <w:sz w:val="22"/>
          <w:szCs w:val="22"/>
        </w:rPr>
        <w:t>ed</w:t>
      </w:r>
      <w:r w:rsidR="0074262E" w:rsidRPr="00FC088A">
        <w:rPr>
          <w:rFonts w:ascii="Century Gothic" w:hAnsi="Century Gothic"/>
          <w:sz w:val="22"/>
          <w:szCs w:val="22"/>
        </w:rPr>
        <w:t xml:space="preserve"> the case was </w:t>
      </w:r>
      <w:r w:rsidR="00FB5108">
        <w:rPr>
          <w:rFonts w:ascii="Century Gothic" w:hAnsi="Century Gothic"/>
          <w:sz w:val="22"/>
          <w:szCs w:val="22"/>
        </w:rPr>
        <w:t xml:space="preserve">in fact </w:t>
      </w:r>
      <w:r w:rsidR="0074262E" w:rsidRPr="00FC088A">
        <w:rPr>
          <w:rFonts w:ascii="Century Gothic" w:hAnsi="Century Gothic"/>
          <w:sz w:val="22"/>
          <w:szCs w:val="22"/>
        </w:rPr>
        <w:t xml:space="preserve">closed </w:t>
      </w:r>
      <w:r w:rsidR="009C26A1">
        <w:rPr>
          <w:rFonts w:ascii="Century Gothic" w:hAnsi="Century Gothic"/>
          <w:sz w:val="22"/>
          <w:szCs w:val="22"/>
        </w:rPr>
        <w:t xml:space="preserve">to them </w:t>
      </w:r>
      <w:r w:rsidR="00E919FE">
        <w:rPr>
          <w:rFonts w:ascii="Century Gothic" w:hAnsi="Century Gothic"/>
          <w:sz w:val="22"/>
          <w:szCs w:val="22"/>
        </w:rPr>
        <w:t xml:space="preserve">the day before the family moved </w:t>
      </w:r>
      <w:r w:rsidR="00E23AB2">
        <w:rPr>
          <w:rFonts w:ascii="Century Gothic" w:hAnsi="Century Gothic"/>
          <w:sz w:val="22"/>
          <w:szCs w:val="22"/>
        </w:rPr>
        <w:t xml:space="preserve">to </w:t>
      </w:r>
      <w:r w:rsidR="00294E3B">
        <w:rPr>
          <w:rFonts w:ascii="Century Gothic" w:hAnsi="Century Gothic"/>
          <w:sz w:val="22"/>
          <w:szCs w:val="22"/>
        </w:rPr>
        <w:t>the</w:t>
      </w:r>
      <w:r w:rsidR="00E919FE">
        <w:rPr>
          <w:rFonts w:ascii="Century Gothic" w:hAnsi="Century Gothic"/>
          <w:sz w:val="22"/>
          <w:szCs w:val="22"/>
        </w:rPr>
        <w:t xml:space="preserve"> </w:t>
      </w:r>
      <w:r w:rsidR="00294E3B">
        <w:rPr>
          <w:rFonts w:ascii="Century Gothic" w:hAnsi="Century Gothic"/>
          <w:sz w:val="22"/>
          <w:szCs w:val="22"/>
        </w:rPr>
        <w:t>r</w:t>
      </w:r>
      <w:r w:rsidR="00E919FE">
        <w:rPr>
          <w:rFonts w:ascii="Century Gothic" w:hAnsi="Century Gothic"/>
          <w:sz w:val="22"/>
          <w:szCs w:val="22"/>
        </w:rPr>
        <w:t>efuge</w:t>
      </w:r>
      <w:r w:rsidR="006F3F7A" w:rsidRPr="00FC088A">
        <w:rPr>
          <w:rFonts w:ascii="Century Gothic" w:hAnsi="Century Gothic"/>
          <w:sz w:val="22"/>
          <w:szCs w:val="22"/>
        </w:rPr>
        <w:t xml:space="preserve">. </w:t>
      </w:r>
    </w:p>
    <w:p w14:paraId="7A598344" w14:textId="73880401" w:rsidR="00E21446" w:rsidRPr="00AD3DF7" w:rsidRDefault="002A236A" w:rsidP="00E86BB4">
      <w:pPr>
        <w:pStyle w:val="ListParagraph"/>
        <w:numPr>
          <w:ilvl w:val="1"/>
          <w:numId w:val="10"/>
        </w:numPr>
        <w:spacing w:line="276" w:lineRule="auto"/>
        <w:jc w:val="both"/>
        <w:rPr>
          <w:rFonts w:ascii="Century Gothic" w:hAnsi="Century Gothic"/>
          <w:sz w:val="22"/>
          <w:szCs w:val="22"/>
        </w:rPr>
      </w:pPr>
      <w:r w:rsidRPr="00AD3DF7">
        <w:rPr>
          <w:rFonts w:ascii="Century Gothic" w:hAnsi="Century Gothic"/>
          <w:sz w:val="22"/>
          <w:szCs w:val="22"/>
        </w:rPr>
        <w:t xml:space="preserve">The </w:t>
      </w:r>
      <w:r w:rsidR="00294E3B">
        <w:rPr>
          <w:rFonts w:ascii="Century Gothic" w:hAnsi="Century Gothic"/>
          <w:sz w:val="22"/>
          <w:szCs w:val="22"/>
        </w:rPr>
        <w:t>r</w:t>
      </w:r>
      <w:r w:rsidR="00821C96" w:rsidRPr="00AD3DF7">
        <w:rPr>
          <w:rFonts w:ascii="Century Gothic" w:hAnsi="Century Gothic"/>
          <w:sz w:val="22"/>
          <w:szCs w:val="22"/>
        </w:rPr>
        <w:t>efuge</w:t>
      </w:r>
      <w:r w:rsidR="002963FE">
        <w:rPr>
          <w:rFonts w:ascii="Century Gothic" w:hAnsi="Century Gothic"/>
          <w:sz w:val="22"/>
          <w:szCs w:val="22"/>
        </w:rPr>
        <w:t xml:space="preserve"> made several referrals for support </w:t>
      </w:r>
      <w:r w:rsidR="00590533">
        <w:rPr>
          <w:rFonts w:ascii="Century Gothic" w:hAnsi="Century Gothic"/>
          <w:sz w:val="22"/>
          <w:szCs w:val="22"/>
        </w:rPr>
        <w:t>for</w:t>
      </w:r>
      <w:r w:rsidR="002963FE">
        <w:rPr>
          <w:rFonts w:ascii="Century Gothic" w:hAnsi="Century Gothic"/>
          <w:sz w:val="22"/>
          <w:szCs w:val="22"/>
        </w:rPr>
        <w:t xml:space="preserve"> birth mother including to the MASH </w:t>
      </w:r>
      <w:r w:rsidR="002963FE" w:rsidRPr="00731E36">
        <w:rPr>
          <w:rFonts w:ascii="Century Gothic" w:hAnsi="Century Gothic"/>
          <w:sz w:val="22"/>
          <w:szCs w:val="22"/>
        </w:rPr>
        <w:t>(Multi-agency Safeguarding Hub</w:t>
      </w:r>
      <w:r w:rsidR="002963FE">
        <w:rPr>
          <w:rFonts w:ascii="Century Gothic" w:hAnsi="Century Gothic"/>
          <w:sz w:val="22"/>
          <w:szCs w:val="22"/>
        </w:rPr>
        <w:t>)</w:t>
      </w:r>
      <w:r w:rsidR="002963FE">
        <w:rPr>
          <w:rStyle w:val="FootnoteReference"/>
          <w:rFonts w:ascii="Century Gothic" w:hAnsi="Century Gothic"/>
          <w:sz w:val="22"/>
          <w:szCs w:val="22"/>
        </w:rPr>
        <w:footnoteReference w:id="3"/>
      </w:r>
      <w:r w:rsidR="00C44124">
        <w:rPr>
          <w:rFonts w:ascii="Century Gothic" w:hAnsi="Century Gothic"/>
          <w:sz w:val="22"/>
          <w:szCs w:val="22"/>
        </w:rPr>
        <w:t xml:space="preserve"> and a homeless application to local authority 4.</w:t>
      </w:r>
      <w:r w:rsidR="002963FE">
        <w:rPr>
          <w:rFonts w:ascii="Century Gothic" w:hAnsi="Century Gothic"/>
          <w:sz w:val="22"/>
          <w:szCs w:val="22"/>
        </w:rPr>
        <w:t xml:space="preserve"> </w:t>
      </w:r>
      <w:r w:rsidR="00821C96" w:rsidRPr="00AD3DF7">
        <w:rPr>
          <w:rFonts w:ascii="Century Gothic" w:hAnsi="Century Gothic"/>
          <w:sz w:val="22"/>
          <w:szCs w:val="22"/>
        </w:rPr>
        <w:t xml:space="preserve"> </w:t>
      </w:r>
      <w:r w:rsidRPr="00AD3DF7">
        <w:rPr>
          <w:rFonts w:ascii="Century Gothic" w:hAnsi="Century Gothic"/>
          <w:sz w:val="22"/>
          <w:szCs w:val="22"/>
        </w:rPr>
        <w:t>Birth mother described struggling with her own mental health and parenting Child T’s older sister</w:t>
      </w:r>
      <w:r w:rsidR="00FB5108">
        <w:rPr>
          <w:rFonts w:ascii="Century Gothic" w:hAnsi="Century Gothic"/>
          <w:sz w:val="22"/>
          <w:szCs w:val="22"/>
        </w:rPr>
        <w:t xml:space="preserve">. She was displaying </w:t>
      </w:r>
      <w:r w:rsidR="000221A1">
        <w:rPr>
          <w:rFonts w:ascii="Century Gothic" w:hAnsi="Century Gothic"/>
          <w:sz w:val="22"/>
          <w:szCs w:val="22"/>
        </w:rPr>
        <w:t>worrying behaviour including</w:t>
      </w:r>
      <w:r w:rsidRPr="00AD3DF7">
        <w:rPr>
          <w:rFonts w:ascii="Century Gothic" w:hAnsi="Century Gothic"/>
          <w:sz w:val="22"/>
          <w:szCs w:val="22"/>
        </w:rPr>
        <w:t xml:space="preserve"> pulling </w:t>
      </w:r>
      <w:r w:rsidR="00AD3DF7" w:rsidRPr="00AD3DF7">
        <w:rPr>
          <w:rFonts w:ascii="Century Gothic" w:hAnsi="Century Gothic"/>
          <w:sz w:val="22"/>
          <w:szCs w:val="22"/>
        </w:rPr>
        <w:t xml:space="preserve">her </w:t>
      </w:r>
      <w:r w:rsidR="000221A1">
        <w:rPr>
          <w:rFonts w:ascii="Century Gothic" w:hAnsi="Century Gothic"/>
          <w:sz w:val="22"/>
          <w:szCs w:val="22"/>
        </w:rPr>
        <w:t xml:space="preserve">mother’s </w:t>
      </w:r>
      <w:r w:rsidRPr="00AD3DF7">
        <w:rPr>
          <w:rFonts w:ascii="Century Gothic" w:hAnsi="Century Gothic"/>
          <w:sz w:val="22"/>
          <w:szCs w:val="22"/>
        </w:rPr>
        <w:t xml:space="preserve">hair, constantly </w:t>
      </w:r>
      <w:r w:rsidR="00FC14D1" w:rsidRPr="00AD3DF7">
        <w:rPr>
          <w:rFonts w:ascii="Century Gothic" w:hAnsi="Century Gothic"/>
          <w:sz w:val="22"/>
          <w:szCs w:val="22"/>
        </w:rPr>
        <w:t>eating,</w:t>
      </w:r>
      <w:r w:rsidR="000221A1">
        <w:rPr>
          <w:rFonts w:ascii="Century Gothic" w:hAnsi="Century Gothic"/>
          <w:sz w:val="22"/>
          <w:szCs w:val="22"/>
        </w:rPr>
        <w:t xml:space="preserve"> and seeking out food</w:t>
      </w:r>
      <w:r w:rsidRPr="00AD3DF7">
        <w:rPr>
          <w:rFonts w:ascii="Century Gothic" w:hAnsi="Century Gothic"/>
          <w:sz w:val="22"/>
          <w:szCs w:val="22"/>
        </w:rPr>
        <w:t xml:space="preserve">, had stopped potty </w:t>
      </w:r>
      <w:r w:rsidR="00E23AB2" w:rsidRPr="00AD3DF7">
        <w:rPr>
          <w:rFonts w:ascii="Century Gothic" w:hAnsi="Century Gothic"/>
          <w:sz w:val="22"/>
          <w:szCs w:val="22"/>
        </w:rPr>
        <w:t>training,</w:t>
      </w:r>
      <w:r w:rsidRPr="00AD3DF7">
        <w:rPr>
          <w:rFonts w:ascii="Century Gothic" w:hAnsi="Century Gothic"/>
          <w:sz w:val="22"/>
          <w:szCs w:val="22"/>
        </w:rPr>
        <w:t xml:space="preserve"> and was having nightmares. </w:t>
      </w:r>
      <w:r w:rsidR="007A4E73" w:rsidRPr="001D0B30">
        <w:rPr>
          <w:rFonts w:ascii="Century Gothic" w:hAnsi="Century Gothic"/>
          <w:sz w:val="22"/>
          <w:szCs w:val="22"/>
        </w:rPr>
        <w:t xml:space="preserve">Child T had not </w:t>
      </w:r>
      <w:r w:rsidR="007A4E73">
        <w:rPr>
          <w:rFonts w:ascii="Century Gothic" w:hAnsi="Century Gothic"/>
          <w:sz w:val="22"/>
          <w:szCs w:val="22"/>
        </w:rPr>
        <w:t xml:space="preserve">been weighed since her 3-week check and not </w:t>
      </w:r>
      <w:r w:rsidR="007A4E73" w:rsidRPr="001D0B30">
        <w:rPr>
          <w:rFonts w:ascii="Century Gothic" w:hAnsi="Century Gothic"/>
          <w:sz w:val="22"/>
          <w:szCs w:val="22"/>
        </w:rPr>
        <w:t>had her 16-week inoculations</w:t>
      </w:r>
      <w:r w:rsidR="007A4E73">
        <w:rPr>
          <w:rFonts w:ascii="Century Gothic" w:hAnsi="Century Gothic"/>
          <w:sz w:val="22"/>
          <w:szCs w:val="22"/>
        </w:rPr>
        <w:t xml:space="preserve"> and at 8</w:t>
      </w:r>
      <w:r w:rsidR="007A4E73" w:rsidRPr="001D0B30">
        <w:rPr>
          <w:rFonts w:ascii="Century Gothic" w:hAnsi="Century Gothic"/>
          <w:sz w:val="22"/>
          <w:szCs w:val="22"/>
        </w:rPr>
        <w:t xml:space="preserve"> months, was not sitting up unsupported and not crawling.  </w:t>
      </w:r>
    </w:p>
    <w:p w14:paraId="34CE367B" w14:textId="5DDE5A11" w:rsidR="007A4E73" w:rsidRDefault="002963FE" w:rsidP="007A4E73">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There were</w:t>
      </w:r>
      <w:r w:rsidR="007A4E73">
        <w:rPr>
          <w:rFonts w:ascii="Century Gothic" w:hAnsi="Century Gothic"/>
          <w:sz w:val="22"/>
          <w:szCs w:val="22"/>
        </w:rPr>
        <w:t xml:space="preserve"> several issues raised in the practice of the health visiting service in local authority 3 and these have been addressed through a separate Significant Incident </w:t>
      </w:r>
      <w:r w:rsidR="00C44124">
        <w:rPr>
          <w:rFonts w:ascii="Century Gothic" w:hAnsi="Century Gothic"/>
          <w:sz w:val="22"/>
          <w:szCs w:val="22"/>
        </w:rPr>
        <w:t>R</w:t>
      </w:r>
      <w:r w:rsidR="007A4E73">
        <w:rPr>
          <w:rFonts w:ascii="Century Gothic" w:hAnsi="Century Gothic"/>
          <w:sz w:val="22"/>
          <w:szCs w:val="22"/>
        </w:rPr>
        <w:t>eview</w:t>
      </w:r>
      <w:r w:rsidR="006E32C8">
        <w:rPr>
          <w:rStyle w:val="FootnoteReference"/>
          <w:rFonts w:ascii="Century Gothic" w:hAnsi="Century Gothic"/>
          <w:sz w:val="22"/>
          <w:szCs w:val="22"/>
        </w:rPr>
        <w:footnoteReference w:id="4"/>
      </w:r>
      <w:r w:rsidR="007A4E73">
        <w:rPr>
          <w:rFonts w:ascii="Century Gothic" w:hAnsi="Century Gothic"/>
          <w:sz w:val="22"/>
          <w:szCs w:val="22"/>
        </w:rPr>
        <w:t xml:space="preserve">.  </w:t>
      </w:r>
      <w:r>
        <w:rPr>
          <w:rFonts w:ascii="Century Gothic" w:hAnsi="Century Gothic"/>
          <w:sz w:val="22"/>
          <w:szCs w:val="22"/>
        </w:rPr>
        <w:t xml:space="preserve"> </w:t>
      </w:r>
    </w:p>
    <w:p w14:paraId="471FA2FA" w14:textId="50FFF81C" w:rsidR="00E23AB2" w:rsidRPr="001A7E28" w:rsidRDefault="005F5C60" w:rsidP="00E23AB2">
      <w:pPr>
        <w:pStyle w:val="ListParagraph"/>
        <w:numPr>
          <w:ilvl w:val="1"/>
          <w:numId w:val="10"/>
        </w:numPr>
        <w:spacing w:line="276" w:lineRule="auto"/>
        <w:jc w:val="both"/>
        <w:rPr>
          <w:rFonts w:ascii="Century Gothic" w:hAnsi="Century Gothic"/>
          <w:sz w:val="22"/>
          <w:szCs w:val="22"/>
        </w:rPr>
      </w:pPr>
      <w:r w:rsidRPr="001A7E28">
        <w:rPr>
          <w:rFonts w:ascii="Century Gothic" w:hAnsi="Century Gothic"/>
          <w:sz w:val="22"/>
          <w:szCs w:val="22"/>
        </w:rPr>
        <w:t>B</w:t>
      </w:r>
      <w:r w:rsidR="00211054" w:rsidRPr="001A7E28">
        <w:rPr>
          <w:rFonts w:ascii="Century Gothic" w:hAnsi="Century Gothic"/>
          <w:sz w:val="22"/>
          <w:szCs w:val="22"/>
        </w:rPr>
        <w:t xml:space="preserve">irth mother </w:t>
      </w:r>
      <w:r w:rsidR="00E23AB2">
        <w:rPr>
          <w:rFonts w:ascii="Century Gothic" w:hAnsi="Century Gothic"/>
          <w:sz w:val="22"/>
          <w:szCs w:val="22"/>
        </w:rPr>
        <w:t xml:space="preserve">and the children moved to local authority 5 in March 2020. </w:t>
      </w:r>
      <w:r w:rsidR="00211054" w:rsidRPr="001A7E28">
        <w:rPr>
          <w:rFonts w:ascii="Century Gothic" w:hAnsi="Century Gothic"/>
          <w:sz w:val="22"/>
          <w:szCs w:val="22"/>
        </w:rPr>
        <w:t xml:space="preserve">This was accommodation </w:t>
      </w:r>
      <w:r w:rsidR="00C27396" w:rsidRPr="001A7E28">
        <w:rPr>
          <w:rFonts w:ascii="Century Gothic" w:hAnsi="Century Gothic"/>
          <w:sz w:val="22"/>
          <w:szCs w:val="22"/>
        </w:rPr>
        <w:t>found by the domestic abuse housing officer</w:t>
      </w:r>
      <w:r w:rsidR="00E23AB2">
        <w:rPr>
          <w:rFonts w:ascii="Century Gothic" w:hAnsi="Century Gothic"/>
          <w:sz w:val="22"/>
          <w:szCs w:val="22"/>
        </w:rPr>
        <w:t xml:space="preserve"> in local authority 4</w:t>
      </w:r>
      <w:r w:rsidR="00C27396" w:rsidRPr="001A7E28">
        <w:rPr>
          <w:rFonts w:ascii="Century Gothic" w:hAnsi="Century Gothic"/>
          <w:sz w:val="22"/>
          <w:szCs w:val="22"/>
        </w:rPr>
        <w:t xml:space="preserve"> and birth mother was assisted in making the application for Housing Benefit and Council Tax. The case was then closed</w:t>
      </w:r>
      <w:r w:rsidR="005C7CA9" w:rsidRPr="001A7E28">
        <w:rPr>
          <w:rFonts w:ascii="Century Gothic" w:hAnsi="Century Gothic"/>
          <w:sz w:val="22"/>
          <w:szCs w:val="22"/>
        </w:rPr>
        <w:t xml:space="preserve"> to the Housing Team in </w:t>
      </w:r>
      <w:r w:rsidR="00BB3C24" w:rsidRPr="001A7E28">
        <w:rPr>
          <w:rFonts w:ascii="Century Gothic" w:hAnsi="Century Gothic"/>
          <w:sz w:val="22"/>
          <w:szCs w:val="22"/>
        </w:rPr>
        <w:t xml:space="preserve">local authority 4. </w:t>
      </w:r>
      <w:r w:rsidR="00992CEB" w:rsidRPr="001A7E28">
        <w:rPr>
          <w:rFonts w:ascii="Century Gothic" w:hAnsi="Century Gothic"/>
          <w:sz w:val="22"/>
          <w:szCs w:val="22"/>
        </w:rPr>
        <w:t xml:space="preserve">The flat was part furnished, </w:t>
      </w:r>
      <w:r w:rsidR="00E828B3">
        <w:rPr>
          <w:rFonts w:ascii="Century Gothic" w:hAnsi="Century Gothic"/>
          <w:sz w:val="22"/>
          <w:szCs w:val="22"/>
        </w:rPr>
        <w:t xml:space="preserve">with </w:t>
      </w:r>
      <w:r w:rsidR="00992CEB" w:rsidRPr="001A7E28">
        <w:rPr>
          <w:rFonts w:ascii="Century Gothic" w:hAnsi="Century Gothic"/>
          <w:sz w:val="22"/>
          <w:szCs w:val="22"/>
        </w:rPr>
        <w:t>2 bedrooms</w:t>
      </w:r>
      <w:r w:rsidR="00FB5108">
        <w:rPr>
          <w:rFonts w:ascii="Century Gothic" w:hAnsi="Century Gothic"/>
          <w:sz w:val="22"/>
          <w:szCs w:val="22"/>
        </w:rPr>
        <w:t xml:space="preserve">, including bunk beds and mattresses for the children. </w:t>
      </w:r>
      <w:r w:rsidR="00E23AB2" w:rsidRPr="001A7E28">
        <w:rPr>
          <w:rFonts w:ascii="Century Gothic" w:hAnsi="Century Gothic"/>
          <w:sz w:val="22"/>
          <w:szCs w:val="22"/>
        </w:rPr>
        <w:t xml:space="preserve">The Housing </w:t>
      </w:r>
      <w:r w:rsidR="00E23AB2">
        <w:rPr>
          <w:rFonts w:ascii="Century Gothic" w:hAnsi="Century Gothic"/>
          <w:sz w:val="22"/>
          <w:szCs w:val="22"/>
        </w:rPr>
        <w:t>Team</w:t>
      </w:r>
      <w:r w:rsidR="00E23AB2" w:rsidRPr="001A7E28">
        <w:rPr>
          <w:rFonts w:ascii="Century Gothic" w:hAnsi="Century Gothic"/>
          <w:sz w:val="22"/>
          <w:szCs w:val="22"/>
        </w:rPr>
        <w:t xml:space="preserve"> in local authority 5 were not made aware that a vulnerable family had moved into their area. </w:t>
      </w:r>
    </w:p>
    <w:p w14:paraId="4D7C273A" w14:textId="7F471B6D" w:rsidR="00E26B79" w:rsidRPr="001A7E28" w:rsidRDefault="00196511" w:rsidP="001A7E28">
      <w:pPr>
        <w:pStyle w:val="ListParagraph"/>
        <w:numPr>
          <w:ilvl w:val="1"/>
          <w:numId w:val="10"/>
        </w:numPr>
        <w:spacing w:line="276" w:lineRule="auto"/>
        <w:jc w:val="both"/>
        <w:rPr>
          <w:rFonts w:ascii="Century Gothic" w:hAnsi="Century Gothic"/>
          <w:sz w:val="22"/>
          <w:szCs w:val="22"/>
        </w:rPr>
      </w:pPr>
      <w:r w:rsidRPr="001A7E28">
        <w:rPr>
          <w:rFonts w:ascii="Century Gothic" w:hAnsi="Century Gothic"/>
          <w:sz w:val="22"/>
          <w:szCs w:val="22"/>
        </w:rPr>
        <w:t xml:space="preserve">Local authority </w:t>
      </w:r>
      <w:r w:rsidR="00E0692C" w:rsidRPr="001A7E28">
        <w:rPr>
          <w:rFonts w:ascii="Century Gothic" w:hAnsi="Century Gothic"/>
          <w:sz w:val="22"/>
          <w:szCs w:val="22"/>
        </w:rPr>
        <w:t>5</w:t>
      </w:r>
      <w:r w:rsidR="00FB17F5" w:rsidRPr="001A7E28">
        <w:rPr>
          <w:rFonts w:ascii="Century Gothic" w:hAnsi="Century Gothic"/>
          <w:sz w:val="22"/>
          <w:szCs w:val="22"/>
        </w:rPr>
        <w:t xml:space="preserve"> was emailed by the </w:t>
      </w:r>
      <w:r w:rsidR="00294E3B">
        <w:rPr>
          <w:rFonts w:ascii="Century Gothic" w:hAnsi="Century Gothic"/>
          <w:sz w:val="22"/>
          <w:szCs w:val="22"/>
        </w:rPr>
        <w:t>r</w:t>
      </w:r>
      <w:r w:rsidR="008F1414" w:rsidRPr="001A7E28">
        <w:rPr>
          <w:rFonts w:ascii="Century Gothic" w:hAnsi="Century Gothic"/>
          <w:sz w:val="22"/>
          <w:szCs w:val="22"/>
        </w:rPr>
        <w:t>efuge</w:t>
      </w:r>
      <w:r w:rsidR="00FB17F5" w:rsidRPr="001A7E28">
        <w:rPr>
          <w:rFonts w:ascii="Century Gothic" w:hAnsi="Century Gothic"/>
          <w:sz w:val="22"/>
          <w:szCs w:val="22"/>
        </w:rPr>
        <w:t xml:space="preserve"> </w:t>
      </w:r>
      <w:r w:rsidR="00591F92">
        <w:rPr>
          <w:rFonts w:ascii="Century Gothic" w:hAnsi="Century Gothic"/>
          <w:sz w:val="22"/>
          <w:szCs w:val="22"/>
        </w:rPr>
        <w:t>yet this</w:t>
      </w:r>
      <w:r w:rsidR="00FB17F5" w:rsidRPr="001A7E28">
        <w:rPr>
          <w:rFonts w:ascii="Century Gothic" w:hAnsi="Century Gothic"/>
          <w:sz w:val="22"/>
          <w:szCs w:val="22"/>
        </w:rPr>
        <w:t xml:space="preserve"> email went to an obsolete email box</w:t>
      </w:r>
      <w:r w:rsidR="00504C86" w:rsidRPr="001A7E28">
        <w:rPr>
          <w:rFonts w:ascii="Century Gothic" w:hAnsi="Century Gothic"/>
          <w:sz w:val="22"/>
          <w:szCs w:val="22"/>
        </w:rPr>
        <w:t xml:space="preserve"> in the MASH</w:t>
      </w:r>
      <w:r w:rsidR="00E828B3">
        <w:rPr>
          <w:rFonts w:ascii="Century Gothic" w:hAnsi="Century Gothic"/>
          <w:sz w:val="22"/>
          <w:szCs w:val="22"/>
        </w:rPr>
        <w:t xml:space="preserve"> </w:t>
      </w:r>
      <w:r w:rsidR="00FB17F5" w:rsidRPr="001A7E28">
        <w:rPr>
          <w:rFonts w:ascii="Century Gothic" w:hAnsi="Century Gothic"/>
          <w:sz w:val="22"/>
          <w:szCs w:val="22"/>
        </w:rPr>
        <w:t>but was picked up by staff</w:t>
      </w:r>
      <w:r w:rsidR="00504C86" w:rsidRPr="001A7E28">
        <w:rPr>
          <w:rFonts w:ascii="Century Gothic" w:hAnsi="Century Gothic"/>
          <w:sz w:val="22"/>
          <w:szCs w:val="22"/>
        </w:rPr>
        <w:t xml:space="preserve"> by chance</w:t>
      </w:r>
      <w:r w:rsidR="00FB17F5" w:rsidRPr="001A7E28">
        <w:rPr>
          <w:rFonts w:ascii="Century Gothic" w:hAnsi="Century Gothic"/>
          <w:sz w:val="22"/>
          <w:szCs w:val="22"/>
        </w:rPr>
        <w:t>. The address given wa</w:t>
      </w:r>
      <w:r w:rsidR="007A6D17" w:rsidRPr="001A7E28">
        <w:rPr>
          <w:rFonts w:ascii="Century Gothic" w:hAnsi="Century Gothic"/>
          <w:sz w:val="22"/>
          <w:szCs w:val="22"/>
        </w:rPr>
        <w:t>s</w:t>
      </w:r>
      <w:r w:rsidR="00FB17F5" w:rsidRPr="001A7E28">
        <w:rPr>
          <w:rFonts w:ascii="Century Gothic" w:hAnsi="Century Gothic"/>
          <w:sz w:val="22"/>
          <w:szCs w:val="22"/>
        </w:rPr>
        <w:t xml:space="preserve"> incorrect and no consent was given for the referral</w:t>
      </w:r>
      <w:r w:rsidR="00504C86" w:rsidRPr="001A7E28">
        <w:rPr>
          <w:rFonts w:ascii="Century Gothic" w:hAnsi="Century Gothic"/>
          <w:sz w:val="22"/>
          <w:szCs w:val="22"/>
        </w:rPr>
        <w:t xml:space="preserve">. </w:t>
      </w:r>
      <w:r w:rsidR="00E26B79" w:rsidRPr="001A7E28">
        <w:rPr>
          <w:rFonts w:ascii="Century Gothic" w:hAnsi="Century Gothic"/>
          <w:sz w:val="22"/>
          <w:szCs w:val="22"/>
        </w:rPr>
        <w:t xml:space="preserve">This referral was </w:t>
      </w:r>
      <w:r w:rsidR="000221A1">
        <w:rPr>
          <w:rFonts w:ascii="Century Gothic" w:hAnsi="Century Gothic"/>
          <w:sz w:val="22"/>
          <w:szCs w:val="22"/>
        </w:rPr>
        <w:t xml:space="preserve">consequently </w:t>
      </w:r>
      <w:r w:rsidR="00E26B79" w:rsidRPr="001A7E28">
        <w:rPr>
          <w:rFonts w:ascii="Century Gothic" w:hAnsi="Century Gothic"/>
          <w:sz w:val="22"/>
          <w:szCs w:val="22"/>
        </w:rPr>
        <w:t xml:space="preserve">’sent back’ to the </w:t>
      </w:r>
      <w:r w:rsidR="00294E3B">
        <w:rPr>
          <w:rFonts w:ascii="Century Gothic" w:hAnsi="Century Gothic"/>
          <w:sz w:val="22"/>
          <w:szCs w:val="22"/>
        </w:rPr>
        <w:t>r</w:t>
      </w:r>
      <w:r w:rsidR="00E26B79" w:rsidRPr="001A7E28">
        <w:rPr>
          <w:rFonts w:ascii="Century Gothic" w:hAnsi="Century Gothic"/>
          <w:sz w:val="22"/>
          <w:szCs w:val="22"/>
        </w:rPr>
        <w:t xml:space="preserve">efuge. The </w:t>
      </w:r>
      <w:r w:rsidR="00294E3B">
        <w:rPr>
          <w:rFonts w:ascii="Century Gothic" w:hAnsi="Century Gothic"/>
          <w:sz w:val="22"/>
          <w:szCs w:val="22"/>
        </w:rPr>
        <w:t>r</w:t>
      </w:r>
      <w:r w:rsidR="00E26B79" w:rsidRPr="001A7E28">
        <w:rPr>
          <w:rFonts w:ascii="Century Gothic" w:hAnsi="Century Gothic"/>
          <w:sz w:val="22"/>
          <w:szCs w:val="22"/>
        </w:rPr>
        <w:t xml:space="preserve">efuge </w:t>
      </w:r>
      <w:proofErr w:type="gramStart"/>
      <w:r w:rsidR="00E26B79" w:rsidRPr="001A7E28">
        <w:rPr>
          <w:rFonts w:ascii="Century Gothic" w:hAnsi="Century Gothic"/>
          <w:sz w:val="22"/>
          <w:szCs w:val="22"/>
        </w:rPr>
        <w:t>have</w:t>
      </w:r>
      <w:proofErr w:type="gramEnd"/>
      <w:r w:rsidR="00E26B79" w:rsidRPr="001A7E28">
        <w:rPr>
          <w:rFonts w:ascii="Century Gothic" w:hAnsi="Century Gothic"/>
          <w:sz w:val="22"/>
          <w:szCs w:val="22"/>
        </w:rPr>
        <w:t xml:space="preserve"> no reco</w:t>
      </w:r>
      <w:r w:rsidR="000221A1">
        <w:rPr>
          <w:rFonts w:ascii="Century Gothic" w:hAnsi="Century Gothic"/>
          <w:sz w:val="22"/>
          <w:szCs w:val="22"/>
        </w:rPr>
        <w:t>rd</w:t>
      </w:r>
      <w:r w:rsidR="00E26B79" w:rsidRPr="001A7E28">
        <w:rPr>
          <w:rFonts w:ascii="Century Gothic" w:hAnsi="Century Gothic"/>
          <w:sz w:val="22"/>
          <w:szCs w:val="22"/>
        </w:rPr>
        <w:t xml:space="preserve"> of this. </w:t>
      </w:r>
      <w:r w:rsidR="00FF0E2E" w:rsidRPr="001A7E28">
        <w:rPr>
          <w:rFonts w:ascii="Century Gothic" w:hAnsi="Century Gothic"/>
          <w:sz w:val="22"/>
          <w:szCs w:val="22"/>
        </w:rPr>
        <w:t xml:space="preserve">At this point no statutory </w:t>
      </w:r>
      <w:r w:rsidR="009D4007">
        <w:rPr>
          <w:rFonts w:ascii="Century Gothic" w:hAnsi="Century Gothic"/>
          <w:sz w:val="22"/>
          <w:szCs w:val="22"/>
        </w:rPr>
        <w:t xml:space="preserve">safeguarding </w:t>
      </w:r>
      <w:r w:rsidR="00FF0E2E" w:rsidRPr="001A7E28">
        <w:rPr>
          <w:rFonts w:ascii="Century Gothic" w:hAnsi="Century Gothic"/>
          <w:sz w:val="22"/>
          <w:szCs w:val="22"/>
        </w:rPr>
        <w:t xml:space="preserve">agency in local authority 5 knew that the family were moving to accommodation in their area. </w:t>
      </w:r>
    </w:p>
    <w:p w14:paraId="59421D59" w14:textId="4C4CB5E4" w:rsidR="007304D3" w:rsidRPr="001A7E28" w:rsidRDefault="007304D3" w:rsidP="001A7E28">
      <w:pPr>
        <w:pStyle w:val="ListParagraph"/>
        <w:numPr>
          <w:ilvl w:val="1"/>
          <w:numId w:val="10"/>
        </w:numPr>
        <w:spacing w:line="276" w:lineRule="auto"/>
        <w:jc w:val="both"/>
        <w:rPr>
          <w:rFonts w:ascii="Century Gothic" w:hAnsi="Century Gothic"/>
          <w:sz w:val="22"/>
          <w:szCs w:val="22"/>
        </w:rPr>
      </w:pPr>
      <w:r w:rsidRPr="001A7E28">
        <w:rPr>
          <w:rFonts w:ascii="Century Gothic" w:hAnsi="Century Gothic"/>
          <w:sz w:val="22"/>
          <w:szCs w:val="22"/>
        </w:rPr>
        <w:t xml:space="preserve">The </w:t>
      </w:r>
      <w:r w:rsidR="00294E3B">
        <w:rPr>
          <w:rFonts w:ascii="Century Gothic" w:hAnsi="Century Gothic"/>
          <w:sz w:val="22"/>
          <w:szCs w:val="22"/>
        </w:rPr>
        <w:t>r</w:t>
      </w:r>
      <w:r w:rsidR="008F1414" w:rsidRPr="001A7E28">
        <w:rPr>
          <w:rFonts w:ascii="Century Gothic" w:hAnsi="Century Gothic"/>
          <w:sz w:val="22"/>
          <w:szCs w:val="22"/>
        </w:rPr>
        <w:t>efuge</w:t>
      </w:r>
      <w:r w:rsidR="000221A1">
        <w:rPr>
          <w:rFonts w:ascii="Century Gothic" w:hAnsi="Century Gothic"/>
          <w:sz w:val="22"/>
          <w:szCs w:val="22"/>
        </w:rPr>
        <w:t xml:space="preserve"> did make</w:t>
      </w:r>
      <w:r w:rsidRPr="001A7E28">
        <w:rPr>
          <w:rFonts w:ascii="Century Gothic" w:hAnsi="Century Gothic"/>
          <w:sz w:val="22"/>
          <w:szCs w:val="22"/>
        </w:rPr>
        <w:t xml:space="preserve"> </w:t>
      </w:r>
      <w:r w:rsidR="007A6D17" w:rsidRPr="001A7E28">
        <w:rPr>
          <w:rFonts w:ascii="Century Gothic" w:hAnsi="Century Gothic"/>
          <w:sz w:val="22"/>
          <w:szCs w:val="22"/>
        </w:rPr>
        <w:t xml:space="preserve">a </w:t>
      </w:r>
      <w:r w:rsidRPr="001A7E28">
        <w:rPr>
          <w:rFonts w:ascii="Century Gothic" w:hAnsi="Century Gothic"/>
          <w:sz w:val="22"/>
          <w:szCs w:val="22"/>
        </w:rPr>
        <w:t>referra</w:t>
      </w:r>
      <w:r w:rsidR="007A6D17" w:rsidRPr="001A7E28">
        <w:rPr>
          <w:rFonts w:ascii="Century Gothic" w:hAnsi="Century Gothic"/>
          <w:sz w:val="22"/>
          <w:szCs w:val="22"/>
        </w:rPr>
        <w:t>l</w:t>
      </w:r>
      <w:r w:rsidRPr="001A7E28">
        <w:rPr>
          <w:rFonts w:ascii="Century Gothic" w:hAnsi="Century Gothic"/>
          <w:sz w:val="22"/>
          <w:szCs w:val="22"/>
        </w:rPr>
        <w:t xml:space="preserve"> to </w:t>
      </w:r>
      <w:r w:rsidR="00FF0E2E" w:rsidRPr="001A7E28">
        <w:rPr>
          <w:rFonts w:ascii="Century Gothic" w:hAnsi="Century Gothic"/>
          <w:sz w:val="22"/>
          <w:szCs w:val="22"/>
        </w:rPr>
        <w:t xml:space="preserve">a </w:t>
      </w:r>
      <w:r w:rsidRPr="001A7E28">
        <w:rPr>
          <w:rFonts w:ascii="Century Gothic" w:hAnsi="Century Gothic"/>
          <w:sz w:val="22"/>
          <w:szCs w:val="22"/>
        </w:rPr>
        <w:t>voluntary agenc</w:t>
      </w:r>
      <w:r w:rsidR="007A6D17" w:rsidRPr="001A7E28">
        <w:rPr>
          <w:rFonts w:ascii="Century Gothic" w:hAnsi="Century Gothic"/>
          <w:sz w:val="22"/>
          <w:szCs w:val="22"/>
        </w:rPr>
        <w:t>y</w:t>
      </w:r>
      <w:r w:rsidRPr="001A7E28">
        <w:rPr>
          <w:rFonts w:ascii="Century Gothic" w:hAnsi="Century Gothic"/>
          <w:sz w:val="22"/>
          <w:szCs w:val="22"/>
        </w:rPr>
        <w:t xml:space="preserve"> in local authority </w:t>
      </w:r>
      <w:r w:rsidR="00E0692C" w:rsidRPr="001A7E28">
        <w:rPr>
          <w:rFonts w:ascii="Century Gothic" w:hAnsi="Century Gothic"/>
          <w:sz w:val="22"/>
          <w:szCs w:val="22"/>
        </w:rPr>
        <w:t>5</w:t>
      </w:r>
      <w:r w:rsidRPr="001A7E28">
        <w:rPr>
          <w:rFonts w:ascii="Century Gothic" w:hAnsi="Century Gothic"/>
          <w:sz w:val="22"/>
          <w:szCs w:val="22"/>
        </w:rPr>
        <w:t>.</w:t>
      </w:r>
      <w:r w:rsidR="007A6D17" w:rsidRPr="001A7E28">
        <w:rPr>
          <w:rFonts w:ascii="Century Gothic" w:hAnsi="Century Gothic"/>
          <w:sz w:val="22"/>
          <w:szCs w:val="22"/>
        </w:rPr>
        <w:t xml:space="preserve"> This voluntary </w:t>
      </w:r>
      <w:r w:rsidR="00FF0E2E" w:rsidRPr="001A7E28">
        <w:rPr>
          <w:rFonts w:ascii="Century Gothic" w:hAnsi="Century Gothic"/>
          <w:sz w:val="22"/>
          <w:szCs w:val="22"/>
        </w:rPr>
        <w:t>agency</w:t>
      </w:r>
      <w:r w:rsidR="007A6D17" w:rsidRPr="001A7E28">
        <w:rPr>
          <w:rFonts w:ascii="Century Gothic" w:hAnsi="Century Gothic"/>
          <w:sz w:val="22"/>
          <w:szCs w:val="22"/>
        </w:rPr>
        <w:t xml:space="preserve"> provided short term support to families and provided practical and emotional support via volunteers</w:t>
      </w:r>
      <w:r w:rsidR="00FF0E2E" w:rsidRPr="001A7E28">
        <w:rPr>
          <w:rFonts w:ascii="Century Gothic" w:hAnsi="Century Gothic"/>
          <w:sz w:val="22"/>
          <w:szCs w:val="22"/>
        </w:rPr>
        <w:t xml:space="preserve">. They </w:t>
      </w:r>
      <w:r w:rsidR="000221A1">
        <w:rPr>
          <w:rFonts w:ascii="Century Gothic" w:hAnsi="Century Gothic"/>
          <w:sz w:val="22"/>
          <w:szCs w:val="22"/>
        </w:rPr>
        <w:t xml:space="preserve">offered </w:t>
      </w:r>
      <w:r w:rsidR="007A6D17" w:rsidRPr="001A7E28">
        <w:rPr>
          <w:rFonts w:ascii="Century Gothic" w:hAnsi="Century Gothic"/>
          <w:sz w:val="22"/>
          <w:szCs w:val="22"/>
        </w:rPr>
        <w:t xml:space="preserve">support </w:t>
      </w:r>
      <w:r w:rsidR="00FF0E2E" w:rsidRPr="001A7E28">
        <w:rPr>
          <w:rFonts w:ascii="Century Gothic" w:hAnsi="Century Gothic"/>
          <w:sz w:val="22"/>
          <w:szCs w:val="22"/>
        </w:rPr>
        <w:t xml:space="preserve">to </w:t>
      </w:r>
      <w:r w:rsidR="007A6D17" w:rsidRPr="001A7E28">
        <w:rPr>
          <w:rFonts w:ascii="Century Gothic" w:hAnsi="Century Gothic"/>
          <w:sz w:val="22"/>
          <w:szCs w:val="22"/>
        </w:rPr>
        <w:t xml:space="preserve">the family </w:t>
      </w:r>
      <w:r w:rsidR="000221A1">
        <w:rPr>
          <w:rFonts w:ascii="Century Gothic" w:hAnsi="Century Gothic"/>
          <w:sz w:val="22"/>
          <w:szCs w:val="22"/>
        </w:rPr>
        <w:t>in settling into the area</w:t>
      </w:r>
      <w:r w:rsidR="007A6D17" w:rsidRPr="001A7E28">
        <w:rPr>
          <w:rFonts w:ascii="Century Gothic" w:hAnsi="Century Gothic"/>
          <w:sz w:val="22"/>
          <w:szCs w:val="22"/>
        </w:rPr>
        <w:t xml:space="preserve"> and </w:t>
      </w:r>
      <w:r w:rsidR="000221A1">
        <w:rPr>
          <w:rFonts w:ascii="Century Gothic" w:hAnsi="Century Gothic"/>
          <w:sz w:val="22"/>
          <w:szCs w:val="22"/>
        </w:rPr>
        <w:t>with practical help</w:t>
      </w:r>
      <w:r w:rsidR="007A6D17" w:rsidRPr="001A7E28">
        <w:rPr>
          <w:rFonts w:ascii="Century Gothic" w:hAnsi="Century Gothic"/>
          <w:sz w:val="22"/>
          <w:szCs w:val="22"/>
        </w:rPr>
        <w:t xml:space="preserve">. The </w:t>
      </w:r>
      <w:r w:rsidR="00294E3B">
        <w:rPr>
          <w:rFonts w:ascii="Century Gothic" w:hAnsi="Century Gothic"/>
          <w:sz w:val="22"/>
          <w:szCs w:val="22"/>
        </w:rPr>
        <w:t>r</w:t>
      </w:r>
      <w:r w:rsidR="008F1414" w:rsidRPr="001A7E28">
        <w:rPr>
          <w:rFonts w:ascii="Century Gothic" w:hAnsi="Century Gothic"/>
          <w:sz w:val="22"/>
          <w:szCs w:val="22"/>
        </w:rPr>
        <w:t>efuge</w:t>
      </w:r>
      <w:r w:rsidR="001721EA" w:rsidRPr="001A7E28">
        <w:rPr>
          <w:rFonts w:ascii="Century Gothic" w:hAnsi="Century Gothic"/>
          <w:sz w:val="22"/>
          <w:szCs w:val="22"/>
        </w:rPr>
        <w:t xml:space="preserve"> agreed </w:t>
      </w:r>
      <w:r w:rsidR="001721EA" w:rsidRPr="001A7E28">
        <w:rPr>
          <w:rFonts w:ascii="Century Gothic" w:hAnsi="Century Gothic"/>
          <w:sz w:val="22"/>
          <w:szCs w:val="22"/>
        </w:rPr>
        <w:lastRenderedPageBreak/>
        <w:t xml:space="preserve">to continue to offer the family support </w:t>
      </w:r>
      <w:r w:rsidR="00FF0E2E" w:rsidRPr="001A7E28">
        <w:rPr>
          <w:rFonts w:ascii="Century Gothic" w:hAnsi="Century Gothic"/>
          <w:sz w:val="22"/>
          <w:szCs w:val="22"/>
        </w:rPr>
        <w:t xml:space="preserve">via the telephone </w:t>
      </w:r>
      <w:r w:rsidR="001721EA" w:rsidRPr="001A7E28">
        <w:rPr>
          <w:rFonts w:ascii="Century Gothic" w:hAnsi="Century Gothic"/>
          <w:sz w:val="22"/>
          <w:szCs w:val="22"/>
        </w:rPr>
        <w:t xml:space="preserve">after they moved out. </w:t>
      </w:r>
    </w:p>
    <w:p w14:paraId="097A17BA" w14:textId="106355F1" w:rsidR="006A1129" w:rsidRDefault="00992CEB" w:rsidP="001A7E28">
      <w:pPr>
        <w:pStyle w:val="ListParagraph"/>
        <w:numPr>
          <w:ilvl w:val="1"/>
          <w:numId w:val="10"/>
        </w:numPr>
        <w:spacing w:line="276" w:lineRule="auto"/>
        <w:jc w:val="both"/>
        <w:rPr>
          <w:rFonts w:ascii="Century Gothic" w:hAnsi="Century Gothic"/>
          <w:sz w:val="22"/>
          <w:szCs w:val="22"/>
        </w:rPr>
      </w:pPr>
      <w:r w:rsidRPr="001A7E28">
        <w:rPr>
          <w:rFonts w:ascii="Century Gothic" w:hAnsi="Century Gothic"/>
          <w:sz w:val="22"/>
          <w:szCs w:val="22"/>
        </w:rPr>
        <w:t xml:space="preserve">The UK went into ‘lockdown’ owing to the Covid-19 pandemic on the </w:t>
      </w:r>
      <w:r w:rsidR="00DD6D9E" w:rsidRPr="001A7E28">
        <w:rPr>
          <w:rFonts w:ascii="Century Gothic" w:hAnsi="Century Gothic"/>
          <w:sz w:val="22"/>
          <w:szCs w:val="22"/>
        </w:rPr>
        <w:t>2</w:t>
      </w:r>
      <w:r w:rsidR="006A1129">
        <w:rPr>
          <w:rFonts w:ascii="Century Gothic" w:hAnsi="Century Gothic"/>
          <w:sz w:val="22"/>
          <w:szCs w:val="22"/>
        </w:rPr>
        <w:t>3</w:t>
      </w:r>
      <w:r w:rsidR="006A1129" w:rsidRPr="006A1129">
        <w:rPr>
          <w:rFonts w:ascii="Century Gothic" w:hAnsi="Century Gothic"/>
          <w:sz w:val="22"/>
          <w:szCs w:val="22"/>
          <w:vertAlign w:val="superscript"/>
        </w:rPr>
        <w:t>rd</w:t>
      </w:r>
      <w:r w:rsidR="006A1129">
        <w:rPr>
          <w:rFonts w:ascii="Century Gothic" w:hAnsi="Century Gothic"/>
          <w:sz w:val="22"/>
          <w:szCs w:val="22"/>
        </w:rPr>
        <w:t xml:space="preserve"> </w:t>
      </w:r>
      <w:r w:rsidR="006A1129" w:rsidRPr="001A7E28">
        <w:rPr>
          <w:rFonts w:ascii="Century Gothic" w:hAnsi="Century Gothic"/>
          <w:sz w:val="22"/>
          <w:szCs w:val="22"/>
          <w:vertAlign w:val="superscript"/>
        </w:rPr>
        <w:t>of</w:t>
      </w:r>
      <w:r w:rsidR="00A0646A" w:rsidRPr="001A7E28">
        <w:rPr>
          <w:rFonts w:ascii="Century Gothic" w:hAnsi="Century Gothic"/>
          <w:sz w:val="22"/>
          <w:szCs w:val="22"/>
          <w:vertAlign w:val="superscript"/>
        </w:rPr>
        <w:t xml:space="preserve"> </w:t>
      </w:r>
      <w:r w:rsidR="00A0646A" w:rsidRPr="001A7E28">
        <w:rPr>
          <w:rFonts w:ascii="Century Gothic" w:hAnsi="Century Gothic"/>
          <w:sz w:val="22"/>
          <w:szCs w:val="22"/>
        </w:rPr>
        <w:t>March</w:t>
      </w:r>
      <w:r w:rsidR="006A1129">
        <w:rPr>
          <w:rFonts w:ascii="Century Gothic" w:hAnsi="Century Gothic"/>
          <w:sz w:val="22"/>
          <w:szCs w:val="22"/>
        </w:rPr>
        <w:t xml:space="preserve"> </w:t>
      </w:r>
      <w:r w:rsidR="00B72B82">
        <w:rPr>
          <w:rFonts w:ascii="Century Gothic" w:hAnsi="Century Gothic"/>
          <w:sz w:val="22"/>
          <w:szCs w:val="22"/>
        </w:rPr>
        <w:t xml:space="preserve">with the UK government </w:t>
      </w:r>
      <w:r w:rsidR="006A1129">
        <w:rPr>
          <w:rFonts w:ascii="Century Gothic" w:hAnsi="Century Gothic"/>
          <w:sz w:val="22"/>
          <w:szCs w:val="22"/>
        </w:rPr>
        <w:t>ordering people to ‘stay a</w:t>
      </w:r>
      <w:r w:rsidR="00B72B82">
        <w:rPr>
          <w:rFonts w:ascii="Century Gothic" w:hAnsi="Century Gothic"/>
          <w:sz w:val="22"/>
          <w:szCs w:val="22"/>
        </w:rPr>
        <w:t>t</w:t>
      </w:r>
      <w:r w:rsidR="006A1129">
        <w:rPr>
          <w:rFonts w:ascii="Century Gothic" w:hAnsi="Century Gothic"/>
          <w:sz w:val="22"/>
          <w:szCs w:val="22"/>
        </w:rPr>
        <w:t xml:space="preserve"> home’. This resulted in agencies restricting home visiting to a minimum. </w:t>
      </w:r>
    </w:p>
    <w:p w14:paraId="40FA4597" w14:textId="2BED0161" w:rsidR="00992CEB" w:rsidRPr="001A7E28" w:rsidRDefault="00A87B3D" w:rsidP="001A7E28">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w:t>
      </w:r>
      <w:r w:rsidR="00274627" w:rsidRPr="001A7E28">
        <w:rPr>
          <w:rFonts w:ascii="Century Gothic" w:hAnsi="Century Gothic"/>
          <w:sz w:val="22"/>
          <w:szCs w:val="22"/>
        </w:rPr>
        <w:t xml:space="preserve"> </w:t>
      </w:r>
      <w:r w:rsidR="007A6D17" w:rsidRPr="001A7E28">
        <w:rPr>
          <w:rFonts w:ascii="Century Gothic" w:hAnsi="Century Gothic"/>
          <w:sz w:val="22"/>
          <w:szCs w:val="22"/>
        </w:rPr>
        <w:t>v</w:t>
      </w:r>
      <w:r w:rsidR="00992CEB" w:rsidRPr="001A7E28">
        <w:rPr>
          <w:rFonts w:ascii="Century Gothic" w:hAnsi="Century Gothic"/>
          <w:sz w:val="22"/>
          <w:szCs w:val="22"/>
        </w:rPr>
        <w:t xml:space="preserve">oluntary </w:t>
      </w:r>
      <w:r w:rsidR="00274627" w:rsidRPr="001A7E28">
        <w:rPr>
          <w:rFonts w:ascii="Century Gothic" w:hAnsi="Century Gothic"/>
          <w:sz w:val="22"/>
          <w:szCs w:val="22"/>
        </w:rPr>
        <w:t>agency</w:t>
      </w:r>
      <w:r w:rsidR="00992CEB" w:rsidRPr="001A7E28">
        <w:rPr>
          <w:rFonts w:ascii="Century Gothic" w:hAnsi="Century Gothic"/>
          <w:sz w:val="22"/>
          <w:szCs w:val="22"/>
        </w:rPr>
        <w:t xml:space="preserve"> </w:t>
      </w:r>
      <w:r w:rsidR="0068734D" w:rsidRPr="001A7E28">
        <w:rPr>
          <w:rFonts w:ascii="Century Gothic" w:hAnsi="Century Gothic"/>
          <w:sz w:val="22"/>
          <w:szCs w:val="22"/>
        </w:rPr>
        <w:t xml:space="preserve">was tasked with </w:t>
      </w:r>
      <w:r w:rsidR="00992CEB" w:rsidRPr="001A7E28">
        <w:rPr>
          <w:rFonts w:ascii="Century Gothic" w:hAnsi="Century Gothic"/>
          <w:sz w:val="22"/>
          <w:szCs w:val="22"/>
        </w:rPr>
        <w:t>sourcing and delivering household and child related items</w:t>
      </w:r>
      <w:r w:rsidR="00E23AB2">
        <w:rPr>
          <w:rFonts w:ascii="Century Gothic" w:hAnsi="Century Gothic"/>
          <w:sz w:val="22"/>
          <w:szCs w:val="22"/>
        </w:rPr>
        <w:t xml:space="preserve">. </w:t>
      </w:r>
      <w:r w:rsidR="00992CEB" w:rsidRPr="001A7E28">
        <w:rPr>
          <w:rFonts w:ascii="Century Gothic" w:hAnsi="Century Gothic"/>
          <w:sz w:val="22"/>
          <w:szCs w:val="22"/>
        </w:rPr>
        <w:t xml:space="preserve"> </w:t>
      </w:r>
      <w:r w:rsidR="0068734D" w:rsidRPr="001A7E28">
        <w:rPr>
          <w:rFonts w:ascii="Century Gothic" w:hAnsi="Century Gothic"/>
          <w:sz w:val="22"/>
          <w:szCs w:val="22"/>
        </w:rPr>
        <w:t xml:space="preserve">Birth mother requested a bed guard for the bottom bunk. She reported </w:t>
      </w:r>
      <w:r w:rsidR="00274627" w:rsidRPr="001A7E28">
        <w:rPr>
          <w:rFonts w:ascii="Century Gothic" w:hAnsi="Century Gothic"/>
          <w:sz w:val="22"/>
          <w:szCs w:val="22"/>
        </w:rPr>
        <w:t xml:space="preserve">to the volunteer that </w:t>
      </w:r>
      <w:r w:rsidR="0068734D" w:rsidRPr="001A7E28">
        <w:rPr>
          <w:rFonts w:ascii="Century Gothic" w:hAnsi="Century Gothic"/>
          <w:sz w:val="22"/>
          <w:szCs w:val="22"/>
        </w:rPr>
        <w:t xml:space="preserve">it was her intention to place Child T in the bottom bunk bed with the bed guard. Child T’s sister </w:t>
      </w:r>
      <w:r w:rsidR="00504C86" w:rsidRPr="001A7E28">
        <w:rPr>
          <w:rFonts w:ascii="Century Gothic" w:hAnsi="Century Gothic"/>
          <w:sz w:val="22"/>
          <w:szCs w:val="22"/>
        </w:rPr>
        <w:t xml:space="preserve">aged 3 </w:t>
      </w:r>
      <w:r w:rsidR="0068734D" w:rsidRPr="001A7E28">
        <w:rPr>
          <w:rFonts w:ascii="Century Gothic" w:hAnsi="Century Gothic"/>
          <w:sz w:val="22"/>
          <w:szCs w:val="22"/>
        </w:rPr>
        <w:t xml:space="preserve">would occupy the top bunk. </w:t>
      </w:r>
    </w:p>
    <w:p w14:paraId="23789E56" w14:textId="22B8F156" w:rsidR="0068734D" w:rsidRPr="00DA2954" w:rsidRDefault="007A6D17" w:rsidP="00DA2954">
      <w:pPr>
        <w:pStyle w:val="ListParagraph"/>
        <w:numPr>
          <w:ilvl w:val="1"/>
          <w:numId w:val="10"/>
        </w:numPr>
        <w:spacing w:line="276" w:lineRule="auto"/>
        <w:jc w:val="both"/>
        <w:rPr>
          <w:rFonts w:ascii="Century Gothic" w:hAnsi="Century Gothic"/>
          <w:sz w:val="22"/>
          <w:szCs w:val="22"/>
        </w:rPr>
      </w:pPr>
      <w:r w:rsidRPr="00DA2954">
        <w:rPr>
          <w:rFonts w:ascii="Century Gothic" w:hAnsi="Century Gothic"/>
          <w:sz w:val="22"/>
          <w:szCs w:val="22"/>
        </w:rPr>
        <w:t>The v</w:t>
      </w:r>
      <w:r w:rsidR="0068734D" w:rsidRPr="00DA2954">
        <w:rPr>
          <w:rFonts w:ascii="Century Gothic" w:hAnsi="Century Gothic"/>
          <w:sz w:val="22"/>
          <w:szCs w:val="22"/>
        </w:rPr>
        <w:t xml:space="preserve">oluntary </w:t>
      </w:r>
      <w:r w:rsidR="00274627" w:rsidRPr="00DA2954">
        <w:rPr>
          <w:rFonts w:ascii="Century Gothic" w:hAnsi="Century Gothic"/>
          <w:sz w:val="22"/>
          <w:szCs w:val="22"/>
        </w:rPr>
        <w:t>agency</w:t>
      </w:r>
      <w:r w:rsidR="0068734D" w:rsidRPr="00DA2954">
        <w:rPr>
          <w:rFonts w:ascii="Century Gothic" w:hAnsi="Century Gothic"/>
          <w:sz w:val="22"/>
          <w:szCs w:val="22"/>
        </w:rPr>
        <w:t xml:space="preserve"> referred the family to a</w:t>
      </w:r>
      <w:r w:rsidR="00274627" w:rsidRPr="00DA2954">
        <w:rPr>
          <w:rFonts w:ascii="Century Gothic" w:hAnsi="Century Gothic"/>
          <w:sz w:val="22"/>
          <w:szCs w:val="22"/>
        </w:rPr>
        <w:t xml:space="preserve"> local </w:t>
      </w:r>
      <w:r w:rsidR="0068734D" w:rsidRPr="00DA2954">
        <w:rPr>
          <w:rFonts w:ascii="Century Gothic" w:hAnsi="Century Gothic"/>
          <w:sz w:val="22"/>
          <w:szCs w:val="22"/>
        </w:rPr>
        <w:t>specialist domestic abuse charity</w:t>
      </w:r>
      <w:r w:rsidRPr="00DA2954">
        <w:rPr>
          <w:rFonts w:ascii="Century Gothic" w:hAnsi="Century Gothic"/>
          <w:sz w:val="22"/>
          <w:szCs w:val="22"/>
        </w:rPr>
        <w:t xml:space="preserve"> </w:t>
      </w:r>
      <w:r w:rsidR="0068734D" w:rsidRPr="00DA2954">
        <w:rPr>
          <w:rFonts w:ascii="Century Gothic" w:hAnsi="Century Gothic"/>
          <w:sz w:val="22"/>
          <w:szCs w:val="22"/>
        </w:rPr>
        <w:t xml:space="preserve">and the case was allocated </w:t>
      </w:r>
      <w:r w:rsidR="009036A2" w:rsidRPr="00DA2954">
        <w:rPr>
          <w:rFonts w:ascii="Century Gothic" w:hAnsi="Century Gothic"/>
          <w:sz w:val="22"/>
          <w:szCs w:val="22"/>
        </w:rPr>
        <w:t>to an outreach worker</w:t>
      </w:r>
      <w:r w:rsidR="00F83E49">
        <w:rPr>
          <w:rFonts w:ascii="Century Gothic" w:hAnsi="Century Gothic"/>
          <w:sz w:val="22"/>
          <w:szCs w:val="22"/>
        </w:rPr>
        <w:t xml:space="preserve">. </w:t>
      </w:r>
      <w:r w:rsidR="009036A2" w:rsidRPr="00DA2954">
        <w:rPr>
          <w:rFonts w:ascii="Century Gothic" w:hAnsi="Century Gothic"/>
          <w:sz w:val="22"/>
          <w:szCs w:val="22"/>
        </w:rPr>
        <w:t xml:space="preserve">The outreach worker was told </w:t>
      </w:r>
      <w:r w:rsidR="00274627" w:rsidRPr="00DA2954">
        <w:rPr>
          <w:rFonts w:ascii="Century Gothic" w:hAnsi="Century Gothic"/>
          <w:sz w:val="22"/>
          <w:szCs w:val="22"/>
        </w:rPr>
        <w:t>by birth</w:t>
      </w:r>
      <w:r w:rsidR="009036A2" w:rsidRPr="00DA2954">
        <w:rPr>
          <w:rFonts w:ascii="Century Gothic" w:hAnsi="Century Gothic"/>
          <w:sz w:val="22"/>
          <w:szCs w:val="22"/>
        </w:rPr>
        <w:t xml:space="preserve"> mother </w:t>
      </w:r>
      <w:r w:rsidR="00274627" w:rsidRPr="00DA2954">
        <w:rPr>
          <w:rFonts w:ascii="Century Gothic" w:hAnsi="Century Gothic"/>
          <w:sz w:val="22"/>
          <w:szCs w:val="22"/>
        </w:rPr>
        <w:t xml:space="preserve">that she </w:t>
      </w:r>
      <w:r w:rsidR="009036A2" w:rsidRPr="00DA2954">
        <w:rPr>
          <w:rFonts w:ascii="Century Gothic" w:hAnsi="Century Gothic"/>
          <w:sz w:val="22"/>
          <w:szCs w:val="22"/>
        </w:rPr>
        <w:t xml:space="preserve">had registered with a local GP and was awaiting contact with the health visitor. </w:t>
      </w:r>
      <w:r w:rsidR="00274627" w:rsidRPr="00DA2954">
        <w:rPr>
          <w:rFonts w:ascii="Century Gothic" w:hAnsi="Century Gothic"/>
          <w:sz w:val="22"/>
          <w:szCs w:val="22"/>
        </w:rPr>
        <w:t>This was in fact, not the case.</w:t>
      </w:r>
      <w:r w:rsidR="0015267C">
        <w:rPr>
          <w:rFonts w:ascii="Century Gothic" w:hAnsi="Century Gothic"/>
          <w:sz w:val="22"/>
          <w:szCs w:val="22"/>
        </w:rPr>
        <w:t xml:space="preserve"> There was no liaison between the health visiting team and the voluntary sector agencies</w:t>
      </w:r>
      <w:r w:rsidR="00FB1C8C">
        <w:rPr>
          <w:rFonts w:ascii="Century Gothic" w:hAnsi="Century Gothic"/>
          <w:sz w:val="22"/>
          <w:szCs w:val="22"/>
        </w:rPr>
        <w:t xml:space="preserve"> as birth mother had not registered and the health visiting service</w:t>
      </w:r>
      <w:r w:rsidR="009D4007">
        <w:rPr>
          <w:rFonts w:ascii="Century Gothic" w:hAnsi="Century Gothic"/>
          <w:sz w:val="22"/>
          <w:szCs w:val="22"/>
        </w:rPr>
        <w:t xml:space="preserve"> in local authority 3</w:t>
      </w:r>
      <w:r w:rsidR="00FB1C8C">
        <w:rPr>
          <w:rFonts w:ascii="Century Gothic" w:hAnsi="Century Gothic"/>
          <w:sz w:val="22"/>
          <w:szCs w:val="22"/>
        </w:rPr>
        <w:t xml:space="preserve"> had not communicated that the family had moved</w:t>
      </w:r>
      <w:r w:rsidR="0015267C">
        <w:rPr>
          <w:rFonts w:ascii="Century Gothic" w:hAnsi="Century Gothic"/>
          <w:sz w:val="22"/>
          <w:szCs w:val="22"/>
        </w:rPr>
        <w:t xml:space="preserve">. </w:t>
      </w:r>
    </w:p>
    <w:p w14:paraId="38AA1D41" w14:textId="77FE4C44" w:rsidR="009036A2" w:rsidRPr="00DA2954" w:rsidRDefault="009036A2" w:rsidP="00DA2954">
      <w:pPr>
        <w:pStyle w:val="ListParagraph"/>
        <w:numPr>
          <w:ilvl w:val="1"/>
          <w:numId w:val="10"/>
        </w:numPr>
        <w:spacing w:line="276" w:lineRule="auto"/>
        <w:jc w:val="both"/>
        <w:rPr>
          <w:rFonts w:ascii="Century Gothic" w:hAnsi="Century Gothic"/>
          <w:sz w:val="22"/>
          <w:szCs w:val="22"/>
        </w:rPr>
      </w:pPr>
      <w:r w:rsidRPr="00DA2954">
        <w:rPr>
          <w:rFonts w:ascii="Century Gothic" w:hAnsi="Century Gothic"/>
          <w:sz w:val="22"/>
          <w:szCs w:val="22"/>
        </w:rPr>
        <w:t xml:space="preserve">The outreach worker had several calls with birth </w:t>
      </w:r>
      <w:r w:rsidR="00892E1B" w:rsidRPr="00DA2954">
        <w:rPr>
          <w:rFonts w:ascii="Century Gothic" w:hAnsi="Century Gothic"/>
          <w:sz w:val="22"/>
          <w:szCs w:val="22"/>
        </w:rPr>
        <w:t>mother,</w:t>
      </w:r>
      <w:r w:rsidRPr="00DA2954">
        <w:rPr>
          <w:rFonts w:ascii="Century Gothic" w:hAnsi="Century Gothic"/>
          <w:sz w:val="22"/>
          <w:szCs w:val="22"/>
        </w:rPr>
        <w:t xml:space="preserve"> and </w:t>
      </w:r>
      <w:r w:rsidR="009D4007">
        <w:rPr>
          <w:rFonts w:ascii="Century Gothic" w:hAnsi="Century Gothic"/>
          <w:sz w:val="22"/>
          <w:szCs w:val="22"/>
        </w:rPr>
        <w:t>she</w:t>
      </w:r>
      <w:r w:rsidRPr="00DA2954">
        <w:rPr>
          <w:rFonts w:ascii="Century Gothic" w:hAnsi="Century Gothic"/>
          <w:sz w:val="22"/>
          <w:szCs w:val="22"/>
        </w:rPr>
        <w:t xml:space="preserve"> re</w:t>
      </w:r>
      <w:r w:rsidR="009D4007">
        <w:rPr>
          <w:rFonts w:ascii="Century Gothic" w:hAnsi="Century Gothic"/>
          <w:sz w:val="22"/>
          <w:szCs w:val="22"/>
        </w:rPr>
        <w:t>peated</w:t>
      </w:r>
      <w:r w:rsidRPr="00DA2954">
        <w:rPr>
          <w:rFonts w:ascii="Century Gothic" w:hAnsi="Century Gothic"/>
          <w:sz w:val="22"/>
          <w:szCs w:val="22"/>
        </w:rPr>
        <w:t xml:space="preserve"> her concerns about the behaviour and presentation of her eldest daughter. </w:t>
      </w:r>
    </w:p>
    <w:p w14:paraId="12FAB8B6" w14:textId="5D4F42F1" w:rsidR="009036A2" w:rsidRPr="00DA2954" w:rsidRDefault="009036A2" w:rsidP="00DA2954">
      <w:pPr>
        <w:pStyle w:val="ListParagraph"/>
        <w:numPr>
          <w:ilvl w:val="1"/>
          <w:numId w:val="10"/>
        </w:numPr>
        <w:spacing w:line="276" w:lineRule="auto"/>
        <w:jc w:val="both"/>
        <w:rPr>
          <w:rFonts w:ascii="Century Gothic" w:hAnsi="Century Gothic"/>
          <w:sz w:val="22"/>
          <w:szCs w:val="22"/>
        </w:rPr>
      </w:pPr>
      <w:r w:rsidRPr="00DA2954">
        <w:rPr>
          <w:rFonts w:ascii="Century Gothic" w:hAnsi="Century Gothic"/>
          <w:sz w:val="22"/>
          <w:szCs w:val="22"/>
        </w:rPr>
        <w:t>The volunteer reported that birth mother was not adhering to social distancing</w:t>
      </w:r>
      <w:r w:rsidR="00AD7132">
        <w:rPr>
          <w:rStyle w:val="FootnoteReference"/>
          <w:rFonts w:ascii="Century Gothic" w:hAnsi="Century Gothic"/>
          <w:sz w:val="22"/>
          <w:szCs w:val="22"/>
        </w:rPr>
        <w:footnoteReference w:id="5"/>
      </w:r>
      <w:r w:rsidR="00504C86" w:rsidRPr="00DA2954">
        <w:rPr>
          <w:rFonts w:ascii="Century Gothic" w:hAnsi="Century Gothic"/>
          <w:sz w:val="22"/>
          <w:szCs w:val="22"/>
        </w:rPr>
        <w:t xml:space="preserve"> and b</w:t>
      </w:r>
      <w:r w:rsidR="00DD2BDA" w:rsidRPr="00DA2954">
        <w:rPr>
          <w:rFonts w:ascii="Century Gothic" w:hAnsi="Century Gothic"/>
          <w:sz w:val="22"/>
          <w:szCs w:val="22"/>
        </w:rPr>
        <w:t>irth mother reported that a friend</w:t>
      </w:r>
      <w:r w:rsidR="00274627" w:rsidRPr="00DA2954">
        <w:rPr>
          <w:rFonts w:ascii="Century Gothic" w:hAnsi="Century Gothic"/>
          <w:sz w:val="22"/>
          <w:szCs w:val="22"/>
        </w:rPr>
        <w:t xml:space="preserve"> was staying</w:t>
      </w:r>
      <w:r w:rsidR="00DD2BDA" w:rsidRPr="00DA2954">
        <w:rPr>
          <w:rFonts w:ascii="Century Gothic" w:hAnsi="Century Gothic"/>
          <w:sz w:val="22"/>
          <w:szCs w:val="22"/>
        </w:rPr>
        <w:t xml:space="preserve"> at the flat during this period of lockdown</w:t>
      </w:r>
      <w:r w:rsidR="008A322D">
        <w:rPr>
          <w:rFonts w:ascii="Century Gothic" w:hAnsi="Century Gothic"/>
          <w:sz w:val="22"/>
          <w:szCs w:val="22"/>
        </w:rPr>
        <w:t>.</w:t>
      </w:r>
      <w:r w:rsidR="00190C50">
        <w:rPr>
          <w:rFonts w:ascii="Century Gothic" w:hAnsi="Century Gothic"/>
          <w:sz w:val="22"/>
          <w:szCs w:val="22"/>
        </w:rPr>
        <w:t xml:space="preserve"> </w:t>
      </w:r>
    </w:p>
    <w:p w14:paraId="0C77A297" w14:textId="046CBAEF" w:rsidR="009036A2" w:rsidRPr="00DA2954" w:rsidRDefault="009036A2" w:rsidP="00DA2954">
      <w:pPr>
        <w:pStyle w:val="ListParagraph"/>
        <w:numPr>
          <w:ilvl w:val="1"/>
          <w:numId w:val="10"/>
        </w:numPr>
        <w:spacing w:line="276" w:lineRule="auto"/>
        <w:jc w:val="both"/>
        <w:rPr>
          <w:rFonts w:ascii="Century Gothic" w:hAnsi="Century Gothic"/>
          <w:sz w:val="22"/>
          <w:szCs w:val="22"/>
        </w:rPr>
      </w:pPr>
      <w:r w:rsidRPr="00DA2954">
        <w:rPr>
          <w:rFonts w:ascii="Century Gothic" w:hAnsi="Century Gothic"/>
          <w:sz w:val="22"/>
          <w:szCs w:val="22"/>
        </w:rPr>
        <w:t>There w</w:t>
      </w:r>
      <w:r w:rsidR="00504C86" w:rsidRPr="00DA2954">
        <w:rPr>
          <w:rFonts w:ascii="Century Gothic" w:hAnsi="Century Gothic"/>
          <w:sz w:val="22"/>
          <w:szCs w:val="22"/>
        </w:rPr>
        <w:t>ere</w:t>
      </w:r>
      <w:r w:rsidRPr="00DA2954">
        <w:rPr>
          <w:rFonts w:ascii="Century Gothic" w:hAnsi="Century Gothic"/>
          <w:sz w:val="22"/>
          <w:szCs w:val="22"/>
        </w:rPr>
        <w:t xml:space="preserve"> a further </w:t>
      </w:r>
      <w:r w:rsidR="00DD2BDA" w:rsidRPr="00DA2954">
        <w:rPr>
          <w:rFonts w:ascii="Century Gothic" w:hAnsi="Century Gothic"/>
          <w:sz w:val="22"/>
          <w:szCs w:val="22"/>
        </w:rPr>
        <w:t>5</w:t>
      </w:r>
      <w:r w:rsidRPr="00DA2954">
        <w:rPr>
          <w:rFonts w:ascii="Century Gothic" w:hAnsi="Century Gothic"/>
          <w:sz w:val="22"/>
          <w:szCs w:val="22"/>
        </w:rPr>
        <w:t xml:space="preserve"> calls between the outreach worker and birth mother</w:t>
      </w:r>
      <w:r w:rsidR="00DD2BDA" w:rsidRPr="00DA2954">
        <w:rPr>
          <w:rFonts w:ascii="Century Gothic" w:hAnsi="Century Gothic"/>
          <w:sz w:val="22"/>
          <w:szCs w:val="22"/>
        </w:rPr>
        <w:t xml:space="preserve">, 2 of which went </w:t>
      </w:r>
      <w:r w:rsidR="00E23AB2">
        <w:rPr>
          <w:rFonts w:ascii="Century Gothic" w:hAnsi="Century Gothic"/>
          <w:sz w:val="22"/>
          <w:szCs w:val="22"/>
        </w:rPr>
        <w:t>un</w:t>
      </w:r>
      <w:r w:rsidR="00DD2BDA" w:rsidRPr="00DA2954">
        <w:rPr>
          <w:rFonts w:ascii="Century Gothic" w:hAnsi="Century Gothic"/>
          <w:sz w:val="22"/>
          <w:szCs w:val="22"/>
        </w:rPr>
        <w:t xml:space="preserve">answered </w:t>
      </w:r>
      <w:r w:rsidRPr="00DA2954">
        <w:rPr>
          <w:rFonts w:ascii="Century Gothic" w:hAnsi="Century Gothic"/>
          <w:sz w:val="22"/>
          <w:szCs w:val="22"/>
        </w:rPr>
        <w:t xml:space="preserve">and </w:t>
      </w:r>
      <w:r w:rsidR="00DD2BDA" w:rsidRPr="00DA2954">
        <w:rPr>
          <w:rFonts w:ascii="Century Gothic" w:hAnsi="Century Gothic"/>
          <w:sz w:val="22"/>
          <w:szCs w:val="22"/>
        </w:rPr>
        <w:t>two</w:t>
      </w:r>
      <w:r w:rsidRPr="00DA2954">
        <w:rPr>
          <w:rFonts w:ascii="Century Gothic" w:hAnsi="Century Gothic"/>
          <w:sz w:val="22"/>
          <w:szCs w:val="22"/>
        </w:rPr>
        <w:t xml:space="preserve"> short phone call</w:t>
      </w:r>
      <w:r w:rsidR="00DD2BDA" w:rsidRPr="00DA2954">
        <w:rPr>
          <w:rFonts w:ascii="Century Gothic" w:hAnsi="Century Gothic"/>
          <w:sz w:val="22"/>
          <w:szCs w:val="22"/>
        </w:rPr>
        <w:t>s</w:t>
      </w:r>
      <w:r w:rsidRPr="00DA2954">
        <w:rPr>
          <w:rFonts w:ascii="Century Gothic" w:hAnsi="Century Gothic"/>
          <w:sz w:val="22"/>
          <w:szCs w:val="22"/>
        </w:rPr>
        <w:t xml:space="preserve"> from the volunteer</w:t>
      </w:r>
      <w:r w:rsidR="00F83E49">
        <w:rPr>
          <w:rFonts w:ascii="Century Gothic" w:hAnsi="Century Gothic"/>
          <w:sz w:val="22"/>
          <w:szCs w:val="22"/>
        </w:rPr>
        <w:t>.</w:t>
      </w:r>
      <w:r w:rsidR="00DD2BDA" w:rsidRPr="00DA2954">
        <w:rPr>
          <w:rFonts w:ascii="Century Gothic" w:hAnsi="Century Gothic"/>
          <w:sz w:val="22"/>
          <w:szCs w:val="22"/>
        </w:rPr>
        <w:t xml:space="preserve"> </w:t>
      </w:r>
    </w:p>
    <w:p w14:paraId="1770B2CC" w14:textId="39BE2F61" w:rsidR="00C24D2B" w:rsidRDefault="00DD2BDA" w:rsidP="00E86BB4">
      <w:pPr>
        <w:pStyle w:val="ListParagraph"/>
        <w:numPr>
          <w:ilvl w:val="1"/>
          <w:numId w:val="10"/>
        </w:numPr>
        <w:spacing w:line="276" w:lineRule="auto"/>
        <w:jc w:val="both"/>
        <w:rPr>
          <w:rFonts w:ascii="Century Gothic" w:hAnsi="Century Gothic"/>
          <w:sz w:val="22"/>
          <w:szCs w:val="22"/>
        </w:rPr>
      </w:pPr>
      <w:r w:rsidRPr="00FB5108">
        <w:rPr>
          <w:rFonts w:ascii="Century Gothic" w:hAnsi="Century Gothic"/>
          <w:sz w:val="22"/>
          <w:szCs w:val="22"/>
        </w:rPr>
        <w:t xml:space="preserve">The night before Child T died, mother reported seeing her at approximately 10pm in bed in the bottom bunk with the bed guard attached. Birth mother confirmed that evening that she and </w:t>
      </w:r>
      <w:r w:rsidR="00A87B3D">
        <w:rPr>
          <w:rFonts w:ascii="Century Gothic" w:hAnsi="Century Gothic"/>
          <w:sz w:val="22"/>
          <w:szCs w:val="22"/>
        </w:rPr>
        <w:t xml:space="preserve">a number of </w:t>
      </w:r>
      <w:r w:rsidR="00B111F5" w:rsidRPr="00FB5108">
        <w:rPr>
          <w:rFonts w:ascii="Century Gothic" w:hAnsi="Century Gothic"/>
          <w:sz w:val="22"/>
          <w:szCs w:val="22"/>
        </w:rPr>
        <w:t xml:space="preserve">friends </w:t>
      </w:r>
      <w:r w:rsidRPr="00FB5108">
        <w:rPr>
          <w:rFonts w:ascii="Century Gothic" w:hAnsi="Century Gothic"/>
          <w:sz w:val="22"/>
          <w:szCs w:val="22"/>
        </w:rPr>
        <w:t>drank alcohol and smoked cannabis together in the flat</w:t>
      </w:r>
      <w:r w:rsidR="00F447EE">
        <w:rPr>
          <w:rFonts w:ascii="Century Gothic" w:hAnsi="Century Gothic"/>
          <w:sz w:val="22"/>
          <w:szCs w:val="22"/>
        </w:rPr>
        <w:t xml:space="preserve"> until the early hours</w:t>
      </w:r>
      <w:r w:rsidRPr="00FB5108">
        <w:rPr>
          <w:rFonts w:ascii="Century Gothic" w:hAnsi="Century Gothic"/>
          <w:sz w:val="22"/>
          <w:szCs w:val="22"/>
        </w:rPr>
        <w:t xml:space="preserve">. </w:t>
      </w:r>
    </w:p>
    <w:p w14:paraId="038C33F2" w14:textId="77777777" w:rsidR="00FB5108" w:rsidRPr="00DA2954" w:rsidRDefault="00FB5108" w:rsidP="00FB5108">
      <w:pPr>
        <w:pStyle w:val="ListParagraph"/>
        <w:spacing w:line="276" w:lineRule="auto"/>
        <w:ind w:left="1080"/>
        <w:jc w:val="both"/>
        <w:rPr>
          <w:rFonts w:ascii="Century Gothic" w:hAnsi="Century Gothic"/>
          <w:sz w:val="22"/>
          <w:szCs w:val="22"/>
        </w:rPr>
      </w:pPr>
    </w:p>
    <w:p w14:paraId="687BB951" w14:textId="423B715C" w:rsidR="00A30958" w:rsidRDefault="00A30958" w:rsidP="009A4B93">
      <w:pPr>
        <w:pStyle w:val="ListParagraph"/>
        <w:numPr>
          <w:ilvl w:val="0"/>
          <w:numId w:val="10"/>
        </w:numPr>
        <w:spacing w:line="276" w:lineRule="auto"/>
        <w:jc w:val="both"/>
        <w:rPr>
          <w:rFonts w:ascii="Century Gothic" w:hAnsi="Century Gothic"/>
          <w:b/>
          <w:bCs/>
          <w:sz w:val="22"/>
          <w:szCs w:val="22"/>
        </w:rPr>
      </w:pPr>
      <w:r w:rsidRPr="009A4B93">
        <w:rPr>
          <w:rFonts w:ascii="Century Gothic" w:hAnsi="Century Gothic"/>
          <w:b/>
          <w:bCs/>
          <w:sz w:val="22"/>
          <w:szCs w:val="22"/>
        </w:rPr>
        <w:t>Emerging Practice Themes</w:t>
      </w:r>
    </w:p>
    <w:p w14:paraId="7D78A910" w14:textId="77777777" w:rsidR="00715DC0" w:rsidRPr="009A4B93" w:rsidRDefault="00715DC0" w:rsidP="00715DC0">
      <w:pPr>
        <w:pStyle w:val="ListParagraph"/>
        <w:spacing w:line="276" w:lineRule="auto"/>
        <w:jc w:val="both"/>
        <w:rPr>
          <w:rFonts w:ascii="Century Gothic" w:hAnsi="Century Gothic"/>
          <w:b/>
          <w:bCs/>
          <w:sz w:val="22"/>
          <w:szCs w:val="22"/>
        </w:rPr>
      </w:pPr>
    </w:p>
    <w:p w14:paraId="39260FE8" w14:textId="29C81674" w:rsidR="0092799F" w:rsidRDefault="009B5F0B" w:rsidP="0092799F">
      <w:pPr>
        <w:pStyle w:val="ListParagraph"/>
        <w:numPr>
          <w:ilvl w:val="1"/>
          <w:numId w:val="2"/>
        </w:numPr>
        <w:spacing w:line="276" w:lineRule="auto"/>
        <w:jc w:val="both"/>
        <w:rPr>
          <w:rFonts w:ascii="Century Gothic" w:hAnsi="Century Gothic"/>
          <w:sz w:val="22"/>
          <w:szCs w:val="22"/>
        </w:rPr>
      </w:pPr>
      <w:r w:rsidRPr="00EA71B0">
        <w:rPr>
          <w:rFonts w:ascii="Century Gothic" w:hAnsi="Century Gothic"/>
          <w:sz w:val="22"/>
          <w:szCs w:val="22"/>
        </w:rPr>
        <w:t>The children’s experience</w:t>
      </w:r>
      <w:r w:rsidR="005A7933">
        <w:rPr>
          <w:rFonts w:ascii="Century Gothic" w:hAnsi="Century Gothic"/>
          <w:sz w:val="22"/>
          <w:szCs w:val="22"/>
        </w:rPr>
        <w:t>.</w:t>
      </w:r>
      <w:r w:rsidRPr="00EA71B0">
        <w:rPr>
          <w:rFonts w:ascii="Century Gothic" w:hAnsi="Century Gothic"/>
          <w:sz w:val="22"/>
          <w:szCs w:val="22"/>
        </w:rPr>
        <w:t xml:space="preserve"> </w:t>
      </w:r>
      <w:r w:rsidR="00B31843" w:rsidRPr="00EA71B0">
        <w:rPr>
          <w:rFonts w:ascii="Century Gothic" w:hAnsi="Century Gothic"/>
          <w:sz w:val="22"/>
          <w:szCs w:val="22"/>
        </w:rPr>
        <w:t xml:space="preserve"> </w:t>
      </w:r>
    </w:p>
    <w:p w14:paraId="3C14A519" w14:textId="30736236" w:rsidR="00172FF5" w:rsidRPr="0022409E" w:rsidRDefault="00172FF5" w:rsidP="00172FF5">
      <w:pPr>
        <w:pStyle w:val="ListParagraph"/>
        <w:numPr>
          <w:ilvl w:val="1"/>
          <w:numId w:val="2"/>
        </w:numPr>
        <w:spacing w:line="276" w:lineRule="auto"/>
        <w:jc w:val="both"/>
        <w:rPr>
          <w:rFonts w:ascii="Century Gothic" w:hAnsi="Century Gothic"/>
          <w:sz w:val="22"/>
          <w:szCs w:val="22"/>
        </w:rPr>
      </w:pPr>
      <w:bookmarkStart w:id="0" w:name="_Hlk55910651"/>
      <w:r w:rsidRPr="0022409E">
        <w:rPr>
          <w:rFonts w:ascii="Century Gothic" w:hAnsi="Century Gothic"/>
          <w:sz w:val="22"/>
          <w:szCs w:val="22"/>
        </w:rPr>
        <w:t>Birth mother and birth father relationship and domestic abuse</w:t>
      </w:r>
      <w:r w:rsidR="005D0A10">
        <w:rPr>
          <w:rFonts w:ascii="Century Gothic" w:hAnsi="Century Gothic"/>
          <w:sz w:val="22"/>
          <w:szCs w:val="22"/>
        </w:rPr>
        <w:t>.</w:t>
      </w:r>
    </w:p>
    <w:bookmarkEnd w:id="0"/>
    <w:p w14:paraId="3ADB9445" w14:textId="698F8903" w:rsidR="00A30958" w:rsidRPr="00EA71B0" w:rsidRDefault="006728E9" w:rsidP="001E6F80">
      <w:pPr>
        <w:pStyle w:val="ListParagraph"/>
        <w:numPr>
          <w:ilvl w:val="1"/>
          <w:numId w:val="2"/>
        </w:numPr>
        <w:spacing w:line="276" w:lineRule="auto"/>
        <w:jc w:val="both"/>
        <w:rPr>
          <w:rFonts w:ascii="Century Gothic" w:hAnsi="Century Gothic"/>
          <w:sz w:val="22"/>
          <w:szCs w:val="22"/>
        </w:rPr>
      </w:pPr>
      <w:r w:rsidRPr="001E6F80">
        <w:rPr>
          <w:rFonts w:ascii="Century Gothic" w:hAnsi="Century Gothic"/>
          <w:sz w:val="22"/>
          <w:szCs w:val="22"/>
        </w:rPr>
        <w:t>The number of moves for the children and the transfer of children’s cases</w:t>
      </w:r>
      <w:r w:rsidR="00AD40C9">
        <w:rPr>
          <w:rFonts w:ascii="Century Gothic" w:hAnsi="Century Gothic"/>
          <w:sz w:val="22"/>
          <w:szCs w:val="22"/>
        </w:rPr>
        <w:t xml:space="preserve"> </w:t>
      </w:r>
      <w:r w:rsidRPr="001E6F80">
        <w:rPr>
          <w:rFonts w:ascii="Century Gothic" w:hAnsi="Century Gothic"/>
          <w:sz w:val="22"/>
          <w:szCs w:val="22"/>
        </w:rPr>
        <w:t>between local authorities and safeguarding partner agencies</w:t>
      </w:r>
      <w:r w:rsidR="00207A8F">
        <w:rPr>
          <w:rFonts w:ascii="Century Gothic" w:hAnsi="Century Gothic"/>
          <w:sz w:val="22"/>
          <w:szCs w:val="22"/>
        </w:rPr>
        <w:t>.</w:t>
      </w:r>
      <w:r w:rsidRPr="0092799F">
        <w:rPr>
          <w:rFonts w:ascii="Century Gothic" w:hAnsi="Century Gothic"/>
          <w:sz w:val="22"/>
          <w:szCs w:val="22"/>
        </w:rPr>
        <w:t xml:space="preserve"> </w:t>
      </w:r>
    </w:p>
    <w:p w14:paraId="35028305" w14:textId="616427DC" w:rsidR="00A30958" w:rsidRPr="0022409E" w:rsidRDefault="00775275" w:rsidP="00926BE7">
      <w:pPr>
        <w:pStyle w:val="ListParagraph"/>
        <w:numPr>
          <w:ilvl w:val="1"/>
          <w:numId w:val="2"/>
        </w:numPr>
        <w:spacing w:line="276" w:lineRule="auto"/>
        <w:jc w:val="both"/>
        <w:rPr>
          <w:rFonts w:ascii="Century Gothic" w:hAnsi="Century Gothic"/>
          <w:sz w:val="22"/>
          <w:szCs w:val="22"/>
        </w:rPr>
      </w:pPr>
      <w:r w:rsidRPr="0022409E">
        <w:rPr>
          <w:rFonts w:ascii="Century Gothic" w:hAnsi="Century Gothic"/>
          <w:sz w:val="22"/>
          <w:szCs w:val="22"/>
        </w:rPr>
        <w:t>S</w:t>
      </w:r>
      <w:r w:rsidR="00A30958" w:rsidRPr="0022409E">
        <w:rPr>
          <w:rFonts w:ascii="Century Gothic" w:hAnsi="Century Gothic"/>
          <w:sz w:val="22"/>
          <w:szCs w:val="22"/>
        </w:rPr>
        <w:t>afer sleeping advice and guidance</w:t>
      </w:r>
      <w:r w:rsidR="005D0A10">
        <w:rPr>
          <w:rFonts w:ascii="Century Gothic" w:hAnsi="Century Gothic"/>
          <w:sz w:val="22"/>
          <w:szCs w:val="22"/>
        </w:rPr>
        <w:t>.</w:t>
      </w:r>
    </w:p>
    <w:p w14:paraId="2A6C8E35" w14:textId="5A5A1A35" w:rsidR="00EA62ED" w:rsidRPr="0022409E" w:rsidRDefault="00EA62ED" w:rsidP="00926BE7">
      <w:pPr>
        <w:pStyle w:val="ListParagraph"/>
        <w:numPr>
          <w:ilvl w:val="1"/>
          <w:numId w:val="2"/>
        </w:numPr>
        <w:spacing w:line="276" w:lineRule="auto"/>
        <w:jc w:val="both"/>
        <w:rPr>
          <w:rFonts w:ascii="Century Gothic" w:hAnsi="Century Gothic"/>
          <w:sz w:val="22"/>
          <w:szCs w:val="22"/>
        </w:rPr>
      </w:pPr>
      <w:r w:rsidRPr="0022409E">
        <w:rPr>
          <w:rFonts w:ascii="Century Gothic" w:hAnsi="Century Gothic"/>
          <w:sz w:val="22"/>
          <w:szCs w:val="22"/>
        </w:rPr>
        <w:t>Voluntary sector engagement with safeguarding partnerships</w:t>
      </w:r>
      <w:r w:rsidR="005D0A10">
        <w:rPr>
          <w:rFonts w:ascii="Century Gothic" w:hAnsi="Century Gothic"/>
          <w:sz w:val="22"/>
          <w:szCs w:val="22"/>
        </w:rPr>
        <w:t>.</w:t>
      </w:r>
      <w:r w:rsidRPr="0022409E">
        <w:rPr>
          <w:rFonts w:ascii="Century Gothic" w:hAnsi="Century Gothic"/>
          <w:sz w:val="22"/>
          <w:szCs w:val="22"/>
        </w:rPr>
        <w:t xml:space="preserve"> </w:t>
      </w:r>
    </w:p>
    <w:p w14:paraId="0DCC4D42" w14:textId="5D3ADFC0" w:rsidR="00A30958" w:rsidRDefault="008D0BCF" w:rsidP="00926BE7">
      <w:pPr>
        <w:pStyle w:val="ListParagraph"/>
        <w:numPr>
          <w:ilvl w:val="1"/>
          <w:numId w:val="2"/>
        </w:numPr>
        <w:spacing w:line="276" w:lineRule="auto"/>
        <w:jc w:val="both"/>
        <w:rPr>
          <w:rFonts w:ascii="Century Gothic" w:hAnsi="Century Gothic"/>
          <w:sz w:val="22"/>
          <w:szCs w:val="22"/>
        </w:rPr>
      </w:pPr>
      <w:r w:rsidRPr="0022409E">
        <w:rPr>
          <w:rFonts w:ascii="Century Gothic" w:hAnsi="Century Gothic"/>
          <w:sz w:val="22"/>
          <w:szCs w:val="22"/>
        </w:rPr>
        <w:t>COVID-19 and its influence on practice</w:t>
      </w:r>
      <w:r w:rsidR="005D0A10">
        <w:rPr>
          <w:rFonts w:ascii="Century Gothic" w:hAnsi="Century Gothic"/>
          <w:sz w:val="22"/>
          <w:szCs w:val="22"/>
        </w:rPr>
        <w:t>.</w:t>
      </w:r>
    </w:p>
    <w:p w14:paraId="36A6A117" w14:textId="77777777" w:rsidR="001C7DA2" w:rsidRPr="001C7DA2" w:rsidRDefault="001C7DA2" w:rsidP="001C7DA2">
      <w:pPr>
        <w:spacing w:line="276" w:lineRule="auto"/>
        <w:jc w:val="both"/>
        <w:rPr>
          <w:rFonts w:ascii="Century Gothic" w:hAnsi="Century Gothic"/>
          <w:sz w:val="22"/>
          <w:szCs w:val="22"/>
        </w:rPr>
      </w:pPr>
    </w:p>
    <w:p w14:paraId="5E8B65A0" w14:textId="77777777" w:rsidR="003E2597" w:rsidRPr="00C24D2B" w:rsidRDefault="003E2597" w:rsidP="00C17A8F">
      <w:pPr>
        <w:pStyle w:val="ListParagraph"/>
        <w:spacing w:line="276" w:lineRule="auto"/>
        <w:jc w:val="both"/>
        <w:rPr>
          <w:rFonts w:ascii="Century Gothic" w:hAnsi="Century Gothic"/>
          <w:sz w:val="22"/>
          <w:szCs w:val="22"/>
          <w:highlight w:val="yellow"/>
        </w:rPr>
      </w:pPr>
    </w:p>
    <w:p w14:paraId="0F7705D1" w14:textId="502C5DBA" w:rsidR="003E2597" w:rsidRPr="001C7DA2" w:rsidRDefault="003E2597" w:rsidP="001C7DA2">
      <w:pPr>
        <w:pStyle w:val="ListParagraph"/>
        <w:numPr>
          <w:ilvl w:val="0"/>
          <w:numId w:val="10"/>
        </w:numPr>
        <w:spacing w:line="276" w:lineRule="auto"/>
        <w:jc w:val="both"/>
        <w:rPr>
          <w:rFonts w:ascii="Century Gothic" w:hAnsi="Century Gothic"/>
          <w:b/>
          <w:bCs/>
          <w:sz w:val="22"/>
          <w:szCs w:val="22"/>
        </w:rPr>
      </w:pPr>
      <w:r w:rsidRPr="001C7DA2">
        <w:rPr>
          <w:rFonts w:ascii="Century Gothic" w:hAnsi="Century Gothic"/>
          <w:b/>
          <w:bCs/>
          <w:sz w:val="22"/>
          <w:szCs w:val="22"/>
        </w:rPr>
        <w:lastRenderedPageBreak/>
        <w:t xml:space="preserve">The children’s </w:t>
      </w:r>
      <w:r w:rsidR="005A7933" w:rsidRPr="001C7DA2">
        <w:rPr>
          <w:rFonts w:ascii="Century Gothic" w:hAnsi="Century Gothic"/>
          <w:b/>
          <w:bCs/>
          <w:sz w:val="22"/>
          <w:szCs w:val="22"/>
        </w:rPr>
        <w:t>experience</w:t>
      </w:r>
      <w:r w:rsidR="00F447EE">
        <w:rPr>
          <w:rFonts w:ascii="Century Gothic" w:hAnsi="Century Gothic"/>
          <w:b/>
          <w:bCs/>
          <w:sz w:val="22"/>
          <w:szCs w:val="22"/>
        </w:rPr>
        <w:t>.</w:t>
      </w:r>
    </w:p>
    <w:p w14:paraId="4C6B0F6C" w14:textId="77777777" w:rsidR="00715DC0" w:rsidRDefault="00715DC0" w:rsidP="00715DC0">
      <w:pPr>
        <w:pStyle w:val="ListParagraph"/>
        <w:spacing w:line="276" w:lineRule="auto"/>
        <w:jc w:val="both"/>
        <w:rPr>
          <w:rFonts w:ascii="Century Gothic" w:hAnsi="Century Gothic"/>
          <w:b/>
          <w:bCs/>
          <w:sz w:val="22"/>
          <w:szCs w:val="22"/>
        </w:rPr>
      </w:pPr>
    </w:p>
    <w:p w14:paraId="2A4F8C3D" w14:textId="658780F9" w:rsidR="00373A41" w:rsidRDefault="00373A41" w:rsidP="00373A41">
      <w:pPr>
        <w:pStyle w:val="ListParagraph"/>
        <w:numPr>
          <w:ilvl w:val="1"/>
          <w:numId w:val="10"/>
        </w:numPr>
        <w:spacing w:line="276" w:lineRule="auto"/>
        <w:jc w:val="both"/>
        <w:rPr>
          <w:rFonts w:ascii="Century Gothic" w:hAnsi="Century Gothic"/>
          <w:sz w:val="22"/>
          <w:szCs w:val="22"/>
        </w:rPr>
      </w:pPr>
      <w:r w:rsidRPr="00B61B86">
        <w:rPr>
          <w:rFonts w:ascii="Century Gothic" w:hAnsi="Century Gothic"/>
          <w:sz w:val="22"/>
          <w:szCs w:val="22"/>
        </w:rPr>
        <w:t>The children ha</w:t>
      </w:r>
      <w:r w:rsidR="00560A7D">
        <w:rPr>
          <w:rFonts w:ascii="Century Gothic" w:hAnsi="Century Gothic"/>
          <w:sz w:val="22"/>
          <w:szCs w:val="22"/>
        </w:rPr>
        <w:t>d</w:t>
      </w:r>
      <w:r w:rsidRPr="00B61B86">
        <w:rPr>
          <w:rFonts w:ascii="Century Gothic" w:hAnsi="Century Gothic"/>
          <w:sz w:val="22"/>
          <w:szCs w:val="22"/>
        </w:rPr>
        <w:t xml:space="preserve"> been the subject of child in need, child protection and early help plan</w:t>
      </w:r>
      <w:r w:rsidR="00A44F35">
        <w:rPr>
          <w:rFonts w:ascii="Century Gothic" w:hAnsi="Century Gothic"/>
          <w:sz w:val="22"/>
          <w:szCs w:val="22"/>
        </w:rPr>
        <w:t>s</w:t>
      </w:r>
      <w:r w:rsidRPr="00B61B86">
        <w:rPr>
          <w:rFonts w:ascii="Century Gothic" w:hAnsi="Century Gothic"/>
          <w:sz w:val="22"/>
          <w:szCs w:val="22"/>
        </w:rPr>
        <w:t xml:space="preserve">, 4 child and family assessments, referrals, risk assessments and private law court processes by the ages of 3 and 11 months, respectively. </w:t>
      </w:r>
      <w:r w:rsidR="00953C02">
        <w:rPr>
          <w:rFonts w:ascii="Century Gothic" w:hAnsi="Century Gothic"/>
          <w:sz w:val="22"/>
          <w:szCs w:val="22"/>
        </w:rPr>
        <w:t xml:space="preserve">Child T’s sister was </w:t>
      </w:r>
      <w:r w:rsidR="00715DC0">
        <w:rPr>
          <w:rFonts w:ascii="Century Gothic" w:hAnsi="Century Gothic"/>
          <w:sz w:val="22"/>
          <w:szCs w:val="22"/>
        </w:rPr>
        <w:t>probably more</w:t>
      </w:r>
      <w:r w:rsidR="00953C02">
        <w:rPr>
          <w:rFonts w:ascii="Century Gothic" w:hAnsi="Century Gothic"/>
          <w:sz w:val="22"/>
          <w:szCs w:val="22"/>
        </w:rPr>
        <w:t xml:space="preserve"> ‘visible’ to agencies given there was significantly more information available about her. </w:t>
      </w:r>
    </w:p>
    <w:p w14:paraId="48C3DB6C" w14:textId="237A8839" w:rsidR="00373A41" w:rsidRPr="00B61B86" w:rsidRDefault="00586364" w:rsidP="00373A41">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There is limited evidence available on how </w:t>
      </w:r>
      <w:r w:rsidR="00373A41" w:rsidRPr="00B61B86">
        <w:rPr>
          <w:rFonts w:ascii="Century Gothic" w:hAnsi="Century Gothic"/>
          <w:sz w:val="22"/>
          <w:szCs w:val="22"/>
        </w:rPr>
        <w:t>these processes impacted on the children</w:t>
      </w:r>
      <w:r>
        <w:rPr>
          <w:rFonts w:ascii="Century Gothic" w:hAnsi="Century Gothic"/>
          <w:sz w:val="22"/>
          <w:szCs w:val="22"/>
        </w:rPr>
        <w:t xml:space="preserve">. </w:t>
      </w:r>
      <w:r w:rsidR="00373A41" w:rsidRPr="00B61B86">
        <w:rPr>
          <w:rFonts w:ascii="Century Gothic" w:hAnsi="Century Gothic"/>
          <w:sz w:val="22"/>
          <w:szCs w:val="22"/>
        </w:rPr>
        <w:t xml:space="preserve"> </w:t>
      </w:r>
      <w:r>
        <w:rPr>
          <w:rFonts w:ascii="Century Gothic" w:hAnsi="Century Gothic"/>
          <w:sz w:val="22"/>
          <w:szCs w:val="22"/>
        </w:rPr>
        <w:t xml:space="preserve">The children did </w:t>
      </w:r>
      <w:r w:rsidR="00892E1B">
        <w:rPr>
          <w:rFonts w:ascii="Century Gothic" w:hAnsi="Century Gothic"/>
          <w:sz w:val="22"/>
          <w:szCs w:val="22"/>
        </w:rPr>
        <w:t>seem</w:t>
      </w:r>
      <w:r>
        <w:rPr>
          <w:rFonts w:ascii="Century Gothic" w:hAnsi="Century Gothic"/>
          <w:sz w:val="22"/>
          <w:szCs w:val="22"/>
        </w:rPr>
        <w:t xml:space="preserve"> lost in the issues of their parents and decisions regarding their care were based on who was deemed the most appropriate parent </w:t>
      </w:r>
      <w:r w:rsidR="00F447EE">
        <w:rPr>
          <w:rFonts w:ascii="Century Gothic" w:hAnsi="Century Gothic"/>
          <w:sz w:val="22"/>
          <w:szCs w:val="22"/>
        </w:rPr>
        <w:t xml:space="preserve">to care for them </w:t>
      </w:r>
      <w:r>
        <w:rPr>
          <w:rFonts w:ascii="Century Gothic" w:hAnsi="Century Gothic"/>
          <w:sz w:val="22"/>
          <w:szCs w:val="22"/>
        </w:rPr>
        <w:t>at the time. T</w:t>
      </w:r>
      <w:r w:rsidR="00373A41" w:rsidRPr="00B61B86">
        <w:rPr>
          <w:rFonts w:ascii="Century Gothic" w:hAnsi="Century Gothic"/>
          <w:sz w:val="22"/>
          <w:szCs w:val="22"/>
        </w:rPr>
        <w:t xml:space="preserve">here were references to the children being ‘safe’ in the care of either birth parent. The perception that the children were considered safe at the </w:t>
      </w:r>
      <w:r w:rsidR="00294E3B">
        <w:rPr>
          <w:rFonts w:ascii="Century Gothic" w:hAnsi="Century Gothic"/>
          <w:sz w:val="22"/>
          <w:szCs w:val="22"/>
        </w:rPr>
        <w:t>r</w:t>
      </w:r>
      <w:r w:rsidR="00373A41" w:rsidRPr="00B61B86">
        <w:rPr>
          <w:rFonts w:ascii="Century Gothic" w:hAnsi="Century Gothic"/>
          <w:sz w:val="22"/>
          <w:szCs w:val="22"/>
        </w:rPr>
        <w:t xml:space="preserve">efuge and in the care of birth mother took </w:t>
      </w:r>
      <w:r>
        <w:rPr>
          <w:rFonts w:ascii="Century Gothic" w:hAnsi="Century Gothic"/>
          <w:sz w:val="22"/>
          <w:szCs w:val="22"/>
        </w:rPr>
        <w:t>no</w:t>
      </w:r>
      <w:r w:rsidR="00373A41" w:rsidRPr="00B61B86">
        <w:rPr>
          <w:rFonts w:ascii="Century Gothic" w:hAnsi="Century Gothic"/>
          <w:sz w:val="22"/>
          <w:szCs w:val="22"/>
        </w:rPr>
        <w:t xml:space="preserve"> account of the children’s </w:t>
      </w:r>
      <w:r w:rsidR="00416DE1">
        <w:rPr>
          <w:rFonts w:ascii="Century Gothic" w:hAnsi="Century Gothic"/>
          <w:sz w:val="22"/>
          <w:szCs w:val="22"/>
        </w:rPr>
        <w:t>history</w:t>
      </w:r>
      <w:r w:rsidR="00373A41" w:rsidRPr="00B61B86">
        <w:rPr>
          <w:rFonts w:ascii="Century Gothic" w:hAnsi="Century Gothic"/>
          <w:sz w:val="22"/>
          <w:szCs w:val="22"/>
        </w:rPr>
        <w:t xml:space="preserve">. </w:t>
      </w:r>
    </w:p>
    <w:p w14:paraId="08C62224" w14:textId="1AD017A2" w:rsidR="00E16A4E" w:rsidRDefault="00586364" w:rsidP="00E86BB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w:t>
      </w:r>
      <w:r w:rsidR="00D14521" w:rsidRPr="00987C89">
        <w:rPr>
          <w:rFonts w:ascii="Century Gothic" w:hAnsi="Century Gothic"/>
          <w:sz w:val="22"/>
          <w:szCs w:val="22"/>
        </w:rPr>
        <w:t>here is</w:t>
      </w:r>
      <w:r w:rsidR="00DA35B9" w:rsidRPr="00987C89">
        <w:rPr>
          <w:rFonts w:ascii="Century Gothic" w:hAnsi="Century Gothic"/>
          <w:sz w:val="22"/>
          <w:szCs w:val="22"/>
        </w:rPr>
        <w:t xml:space="preserve"> </w:t>
      </w:r>
      <w:r w:rsidR="00D14521" w:rsidRPr="00987C89">
        <w:rPr>
          <w:rFonts w:ascii="Century Gothic" w:hAnsi="Century Gothic"/>
          <w:sz w:val="22"/>
          <w:szCs w:val="22"/>
        </w:rPr>
        <w:t>little evidence</w:t>
      </w:r>
      <w:r>
        <w:rPr>
          <w:rFonts w:ascii="Century Gothic" w:hAnsi="Century Gothic"/>
          <w:sz w:val="22"/>
          <w:szCs w:val="22"/>
        </w:rPr>
        <w:t>,</w:t>
      </w:r>
      <w:r w:rsidR="00D14521" w:rsidRPr="00987C89">
        <w:rPr>
          <w:rFonts w:ascii="Century Gothic" w:hAnsi="Century Gothic"/>
          <w:sz w:val="22"/>
          <w:szCs w:val="22"/>
        </w:rPr>
        <w:t xml:space="preserve"> from the point of Child T’s birth</w:t>
      </w:r>
      <w:r>
        <w:rPr>
          <w:rFonts w:ascii="Century Gothic" w:hAnsi="Century Gothic"/>
          <w:sz w:val="22"/>
          <w:szCs w:val="22"/>
        </w:rPr>
        <w:t>,</w:t>
      </w:r>
      <w:r w:rsidR="00D14521" w:rsidRPr="00987C89">
        <w:rPr>
          <w:rFonts w:ascii="Century Gothic" w:hAnsi="Century Gothic"/>
          <w:sz w:val="22"/>
          <w:szCs w:val="22"/>
        </w:rPr>
        <w:t xml:space="preserve"> that consideration was given to the impact on the children of experiencing domestic abuse and neglect</w:t>
      </w:r>
      <w:r>
        <w:rPr>
          <w:rStyle w:val="FootnoteReference"/>
          <w:rFonts w:ascii="Century Gothic" w:hAnsi="Century Gothic"/>
          <w:sz w:val="22"/>
          <w:szCs w:val="22"/>
        </w:rPr>
        <w:footnoteReference w:id="6"/>
      </w:r>
      <w:r w:rsidR="00030536">
        <w:rPr>
          <w:rFonts w:ascii="Century Gothic" w:hAnsi="Century Gothic"/>
          <w:sz w:val="22"/>
          <w:szCs w:val="22"/>
        </w:rPr>
        <w:t>.</w:t>
      </w:r>
      <w:r w:rsidR="00D14521" w:rsidRPr="00987C89">
        <w:rPr>
          <w:rFonts w:ascii="Century Gothic" w:hAnsi="Century Gothic"/>
          <w:sz w:val="22"/>
          <w:szCs w:val="22"/>
        </w:rPr>
        <w:t xml:space="preserve"> </w:t>
      </w:r>
      <w:r w:rsidR="00437B36" w:rsidRPr="00987C89">
        <w:rPr>
          <w:rFonts w:ascii="Century Gothic" w:hAnsi="Century Gothic"/>
          <w:sz w:val="22"/>
          <w:szCs w:val="22"/>
        </w:rPr>
        <w:t xml:space="preserve">When the family moved to the </w:t>
      </w:r>
      <w:r w:rsidR="00294E3B">
        <w:rPr>
          <w:rFonts w:ascii="Century Gothic" w:hAnsi="Century Gothic"/>
          <w:sz w:val="22"/>
          <w:szCs w:val="22"/>
        </w:rPr>
        <w:t>r</w:t>
      </w:r>
      <w:r w:rsidR="00437B36" w:rsidRPr="00987C89">
        <w:rPr>
          <w:rFonts w:ascii="Century Gothic" w:hAnsi="Century Gothic"/>
          <w:sz w:val="22"/>
          <w:szCs w:val="22"/>
        </w:rPr>
        <w:t xml:space="preserve">efuge, </w:t>
      </w:r>
      <w:r w:rsidR="00467B51" w:rsidRPr="00987C89">
        <w:rPr>
          <w:rFonts w:ascii="Century Gothic" w:hAnsi="Century Gothic"/>
          <w:sz w:val="22"/>
          <w:szCs w:val="22"/>
        </w:rPr>
        <w:t xml:space="preserve">Child T was </w:t>
      </w:r>
      <w:r w:rsidR="00330586">
        <w:rPr>
          <w:rFonts w:ascii="Century Gothic" w:hAnsi="Century Gothic"/>
          <w:sz w:val="22"/>
          <w:szCs w:val="22"/>
        </w:rPr>
        <w:t xml:space="preserve">assessed as </w:t>
      </w:r>
      <w:r w:rsidR="00467B51" w:rsidRPr="00987C89">
        <w:rPr>
          <w:rFonts w:ascii="Century Gothic" w:hAnsi="Century Gothic"/>
          <w:sz w:val="22"/>
          <w:szCs w:val="22"/>
        </w:rPr>
        <w:t>developmenta</w:t>
      </w:r>
      <w:r w:rsidR="00330586">
        <w:rPr>
          <w:rFonts w:ascii="Century Gothic" w:hAnsi="Century Gothic"/>
          <w:sz w:val="22"/>
          <w:szCs w:val="22"/>
        </w:rPr>
        <w:t>l</w:t>
      </w:r>
      <w:r w:rsidR="00467B51" w:rsidRPr="00987C89">
        <w:rPr>
          <w:rFonts w:ascii="Century Gothic" w:hAnsi="Century Gothic"/>
          <w:sz w:val="22"/>
          <w:szCs w:val="22"/>
        </w:rPr>
        <w:t>l</w:t>
      </w:r>
      <w:r w:rsidR="00330586">
        <w:rPr>
          <w:rFonts w:ascii="Century Gothic" w:hAnsi="Century Gothic"/>
          <w:sz w:val="22"/>
          <w:szCs w:val="22"/>
        </w:rPr>
        <w:t>y</w:t>
      </w:r>
      <w:r w:rsidR="00467B51" w:rsidRPr="00987C89">
        <w:rPr>
          <w:rFonts w:ascii="Century Gothic" w:hAnsi="Century Gothic"/>
          <w:sz w:val="22"/>
          <w:szCs w:val="22"/>
        </w:rPr>
        <w:t xml:space="preserve"> </w:t>
      </w:r>
      <w:r w:rsidR="009B20EA" w:rsidRPr="00987C89">
        <w:rPr>
          <w:rFonts w:ascii="Century Gothic" w:hAnsi="Century Gothic"/>
          <w:sz w:val="22"/>
          <w:szCs w:val="22"/>
        </w:rPr>
        <w:t>delay</w:t>
      </w:r>
      <w:r w:rsidR="00330586">
        <w:rPr>
          <w:rFonts w:ascii="Century Gothic" w:hAnsi="Century Gothic"/>
          <w:sz w:val="22"/>
          <w:szCs w:val="22"/>
        </w:rPr>
        <w:t>ed</w:t>
      </w:r>
      <w:r w:rsidR="009B20EA" w:rsidRPr="00987C89">
        <w:rPr>
          <w:rFonts w:ascii="Century Gothic" w:hAnsi="Century Gothic"/>
          <w:sz w:val="22"/>
          <w:szCs w:val="22"/>
        </w:rPr>
        <w:t xml:space="preserve"> and </w:t>
      </w:r>
      <w:r w:rsidR="00D14521" w:rsidRPr="00987C89">
        <w:rPr>
          <w:rFonts w:ascii="Century Gothic" w:hAnsi="Century Gothic"/>
          <w:sz w:val="22"/>
          <w:szCs w:val="22"/>
        </w:rPr>
        <w:t xml:space="preserve">Child T’s elder sister was </w:t>
      </w:r>
      <w:r w:rsidR="00FD351F">
        <w:rPr>
          <w:rFonts w:ascii="Century Gothic" w:hAnsi="Century Gothic"/>
          <w:sz w:val="22"/>
          <w:szCs w:val="22"/>
        </w:rPr>
        <w:t xml:space="preserve">clearly </w:t>
      </w:r>
      <w:r w:rsidR="00D14521" w:rsidRPr="00987C89">
        <w:rPr>
          <w:rFonts w:ascii="Century Gothic" w:hAnsi="Century Gothic"/>
          <w:sz w:val="22"/>
          <w:szCs w:val="22"/>
        </w:rPr>
        <w:t>‘</w:t>
      </w:r>
      <w:r w:rsidR="0063073B" w:rsidRPr="00987C89">
        <w:rPr>
          <w:rFonts w:ascii="Century Gothic" w:hAnsi="Century Gothic"/>
          <w:sz w:val="22"/>
          <w:szCs w:val="22"/>
        </w:rPr>
        <w:t>communicating</w:t>
      </w:r>
      <w:r w:rsidR="00D14521" w:rsidRPr="00987C89">
        <w:rPr>
          <w:rFonts w:ascii="Century Gothic" w:hAnsi="Century Gothic"/>
          <w:sz w:val="22"/>
          <w:szCs w:val="22"/>
        </w:rPr>
        <w:t xml:space="preserve">’ </w:t>
      </w:r>
      <w:r w:rsidR="008A13AD" w:rsidRPr="00987C89">
        <w:rPr>
          <w:rFonts w:ascii="Century Gothic" w:hAnsi="Century Gothic"/>
          <w:sz w:val="22"/>
          <w:szCs w:val="22"/>
        </w:rPr>
        <w:t xml:space="preserve">to her mother and </w:t>
      </w:r>
      <w:r w:rsidR="00D14521" w:rsidRPr="00987C89">
        <w:rPr>
          <w:rFonts w:ascii="Century Gothic" w:hAnsi="Century Gothic"/>
          <w:sz w:val="22"/>
          <w:szCs w:val="22"/>
        </w:rPr>
        <w:t xml:space="preserve">professionals </w:t>
      </w:r>
      <w:r w:rsidR="00234875" w:rsidRPr="00987C89">
        <w:rPr>
          <w:rFonts w:ascii="Century Gothic" w:hAnsi="Century Gothic"/>
          <w:sz w:val="22"/>
          <w:szCs w:val="22"/>
        </w:rPr>
        <w:t xml:space="preserve">how she </w:t>
      </w:r>
      <w:r w:rsidR="00FD351F">
        <w:rPr>
          <w:rFonts w:ascii="Century Gothic" w:hAnsi="Century Gothic"/>
          <w:sz w:val="22"/>
          <w:szCs w:val="22"/>
        </w:rPr>
        <w:t xml:space="preserve">was </w:t>
      </w:r>
      <w:r w:rsidR="00A509F4">
        <w:rPr>
          <w:rFonts w:ascii="Century Gothic" w:hAnsi="Century Gothic"/>
          <w:sz w:val="22"/>
          <w:szCs w:val="22"/>
        </w:rPr>
        <w:t xml:space="preserve">feeling. </w:t>
      </w:r>
      <w:r w:rsidR="008376CB" w:rsidRPr="00987C89">
        <w:rPr>
          <w:rFonts w:ascii="Century Gothic" w:hAnsi="Century Gothic"/>
          <w:sz w:val="22"/>
          <w:szCs w:val="22"/>
        </w:rPr>
        <w:t>Birth mother report</w:t>
      </w:r>
      <w:r w:rsidR="009B20EA" w:rsidRPr="00987C89">
        <w:rPr>
          <w:rFonts w:ascii="Century Gothic" w:hAnsi="Century Gothic"/>
          <w:sz w:val="22"/>
          <w:szCs w:val="22"/>
        </w:rPr>
        <w:t>ed</w:t>
      </w:r>
      <w:r w:rsidR="008376CB" w:rsidRPr="00987C89">
        <w:rPr>
          <w:rFonts w:ascii="Century Gothic" w:hAnsi="Century Gothic"/>
          <w:sz w:val="22"/>
          <w:szCs w:val="22"/>
        </w:rPr>
        <w:t xml:space="preserve"> this behaviour </w:t>
      </w:r>
      <w:r w:rsidR="00AD3DBD" w:rsidRPr="00987C89">
        <w:rPr>
          <w:rFonts w:ascii="Century Gothic" w:hAnsi="Century Gothic"/>
          <w:sz w:val="22"/>
          <w:szCs w:val="22"/>
        </w:rPr>
        <w:t>was</w:t>
      </w:r>
      <w:r w:rsidR="008376CB" w:rsidRPr="00987C89">
        <w:rPr>
          <w:rFonts w:ascii="Century Gothic" w:hAnsi="Century Gothic"/>
          <w:sz w:val="22"/>
          <w:szCs w:val="22"/>
        </w:rPr>
        <w:t xml:space="preserve"> in response to her witnessing domestic abuse</w:t>
      </w:r>
      <w:r w:rsidR="00892E1B">
        <w:rPr>
          <w:rFonts w:ascii="Century Gothic" w:hAnsi="Century Gothic"/>
          <w:sz w:val="22"/>
          <w:szCs w:val="22"/>
        </w:rPr>
        <w:t>. T</w:t>
      </w:r>
      <w:r w:rsidR="00AD3DBD" w:rsidRPr="00987C89">
        <w:rPr>
          <w:rFonts w:ascii="Century Gothic" w:hAnsi="Century Gothic"/>
          <w:sz w:val="22"/>
          <w:szCs w:val="22"/>
        </w:rPr>
        <w:t>h</w:t>
      </w:r>
      <w:r w:rsidR="008C053D" w:rsidRPr="00987C89">
        <w:rPr>
          <w:rFonts w:ascii="Century Gothic" w:hAnsi="Century Gothic"/>
          <w:sz w:val="22"/>
          <w:szCs w:val="22"/>
        </w:rPr>
        <w:t>ese two</w:t>
      </w:r>
      <w:r w:rsidR="007117BF" w:rsidRPr="00987C89">
        <w:rPr>
          <w:rFonts w:ascii="Century Gothic" w:hAnsi="Century Gothic"/>
          <w:sz w:val="22"/>
          <w:szCs w:val="22"/>
        </w:rPr>
        <w:t xml:space="preserve"> very</w:t>
      </w:r>
      <w:r w:rsidR="008C053D" w:rsidRPr="00987C89">
        <w:rPr>
          <w:rFonts w:ascii="Century Gothic" w:hAnsi="Century Gothic"/>
          <w:sz w:val="22"/>
          <w:szCs w:val="22"/>
        </w:rPr>
        <w:t xml:space="preserve"> </w:t>
      </w:r>
      <w:r w:rsidR="003101FD" w:rsidRPr="00987C89">
        <w:rPr>
          <w:rFonts w:ascii="Century Gothic" w:hAnsi="Century Gothic"/>
          <w:sz w:val="22"/>
          <w:szCs w:val="22"/>
        </w:rPr>
        <w:t xml:space="preserve">small </w:t>
      </w:r>
      <w:r w:rsidR="00AD3DBD" w:rsidRPr="00987C89">
        <w:rPr>
          <w:rFonts w:ascii="Century Gothic" w:hAnsi="Century Gothic"/>
          <w:sz w:val="22"/>
          <w:szCs w:val="22"/>
        </w:rPr>
        <w:t>child</w:t>
      </w:r>
      <w:r w:rsidR="008C053D" w:rsidRPr="00987C89">
        <w:rPr>
          <w:rFonts w:ascii="Century Gothic" w:hAnsi="Century Gothic"/>
          <w:sz w:val="22"/>
          <w:szCs w:val="22"/>
        </w:rPr>
        <w:t>ren</w:t>
      </w:r>
      <w:r w:rsidR="00AD3DBD" w:rsidRPr="00987C89">
        <w:rPr>
          <w:rFonts w:ascii="Century Gothic" w:hAnsi="Century Gothic"/>
          <w:sz w:val="22"/>
          <w:szCs w:val="22"/>
        </w:rPr>
        <w:t>’s live</w:t>
      </w:r>
      <w:r w:rsidR="008C053D" w:rsidRPr="00987C89">
        <w:rPr>
          <w:rFonts w:ascii="Century Gothic" w:hAnsi="Century Gothic"/>
          <w:sz w:val="22"/>
          <w:szCs w:val="22"/>
        </w:rPr>
        <w:t xml:space="preserve">s </w:t>
      </w:r>
      <w:r w:rsidR="007117BF" w:rsidRPr="00987C89">
        <w:rPr>
          <w:rFonts w:ascii="Century Gothic" w:hAnsi="Century Gothic"/>
          <w:sz w:val="22"/>
          <w:szCs w:val="22"/>
        </w:rPr>
        <w:t xml:space="preserve">had been </w:t>
      </w:r>
      <w:r w:rsidR="001E150A" w:rsidRPr="00987C89">
        <w:rPr>
          <w:rFonts w:ascii="Century Gothic" w:hAnsi="Century Gothic"/>
          <w:sz w:val="22"/>
          <w:szCs w:val="22"/>
        </w:rPr>
        <w:t xml:space="preserve">one of </w:t>
      </w:r>
      <w:r w:rsidR="00593C65" w:rsidRPr="00987C89">
        <w:rPr>
          <w:rFonts w:ascii="Century Gothic" w:hAnsi="Century Gothic"/>
          <w:sz w:val="22"/>
          <w:szCs w:val="22"/>
        </w:rPr>
        <w:t xml:space="preserve">parental discord, </w:t>
      </w:r>
      <w:r w:rsidR="00226617" w:rsidRPr="00987C89">
        <w:rPr>
          <w:rFonts w:ascii="Century Gothic" w:hAnsi="Century Gothic"/>
          <w:sz w:val="22"/>
          <w:szCs w:val="22"/>
        </w:rPr>
        <w:t xml:space="preserve">disruptive </w:t>
      </w:r>
      <w:r w:rsidR="00593C65" w:rsidRPr="00987C89">
        <w:rPr>
          <w:rFonts w:ascii="Century Gothic" w:hAnsi="Century Gothic"/>
          <w:sz w:val="22"/>
          <w:szCs w:val="22"/>
        </w:rPr>
        <w:t xml:space="preserve">family moves, domestic abuse, adult mental health, drug and alcohol misuse and parental neglect. </w:t>
      </w:r>
      <w:r w:rsidR="008B49C4">
        <w:rPr>
          <w:rFonts w:ascii="Century Gothic" w:hAnsi="Century Gothic"/>
          <w:sz w:val="22"/>
          <w:szCs w:val="22"/>
        </w:rPr>
        <w:t>An integrated chronology was not undertaken to inform assessments and interventions</w:t>
      </w:r>
      <w:r w:rsidR="003C7428">
        <w:rPr>
          <w:rFonts w:ascii="Century Gothic" w:hAnsi="Century Gothic"/>
          <w:sz w:val="22"/>
          <w:szCs w:val="22"/>
        </w:rPr>
        <w:t xml:space="preserve"> and therefore </w:t>
      </w:r>
      <w:r w:rsidR="00F93CAE">
        <w:rPr>
          <w:rFonts w:ascii="Century Gothic" w:hAnsi="Century Gothic"/>
          <w:sz w:val="22"/>
          <w:szCs w:val="22"/>
        </w:rPr>
        <w:t xml:space="preserve">no </w:t>
      </w:r>
      <w:r w:rsidR="00F93CAE" w:rsidRPr="00987C89">
        <w:rPr>
          <w:rFonts w:ascii="Century Gothic" w:hAnsi="Century Gothic"/>
          <w:sz w:val="22"/>
          <w:szCs w:val="22"/>
        </w:rPr>
        <w:t>purposeful</w:t>
      </w:r>
      <w:r w:rsidR="00464EAC" w:rsidRPr="00987C89">
        <w:rPr>
          <w:rFonts w:ascii="Century Gothic" w:hAnsi="Century Gothic"/>
          <w:sz w:val="22"/>
          <w:szCs w:val="22"/>
        </w:rPr>
        <w:t xml:space="preserve"> and child centred assessments of the risks and needs </w:t>
      </w:r>
      <w:r w:rsidR="00F93CAE" w:rsidRPr="00987C89">
        <w:rPr>
          <w:rFonts w:ascii="Century Gothic" w:hAnsi="Century Gothic"/>
          <w:sz w:val="22"/>
          <w:szCs w:val="22"/>
        </w:rPr>
        <w:t>were undertaken</w:t>
      </w:r>
      <w:r w:rsidR="0045787C">
        <w:rPr>
          <w:rFonts w:ascii="Century Gothic" w:hAnsi="Century Gothic"/>
          <w:sz w:val="22"/>
          <w:szCs w:val="22"/>
        </w:rPr>
        <w:t xml:space="preserve"> after Child T’s birth</w:t>
      </w:r>
      <w:r w:rsidR="00664E1B">
        <w:rPr>
          <w:rFonts w:ascii="Century Gothic" w:hAnsi="Century Gothic"/>
          <w:sz w:val="22"/>
          <w:szCs w:val="22"/>
        </w:rPr>
        <w:t xml:space="preserve"> and at </w:t>
      </w:r>
      <w:r w:rsidR="002C177C">
        <w:rPr>
          <w:rFonts w:ascii="Century Gothic" w:hAnsi="Century Gothic"/>
          <w:sz w:val="22"/>
          <w:szCs w:val="22"/>
        </w:rPr>
        <w:t xml:space="preserve">each transition stage. </w:t>
      </w:r>
    </w:p>
    <w:p w14:paraId="305AE6C2" w14:textId="5B3C451D" w:rsidR="007E65DE" w:rsidRDefault="00CF1685" w:rsidP="00E86BB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w:t>
      </w:r>
      <w:r w:rsidR="00F93CAE">
        <w:rPr>
          <w:rFonts w:ascii="Century Gothic" w:hAnsi="Century Gothic"/>
          <w:sz w:val="22"/>
          <w:szCs w:val="22"/>
        </w:rPr>
        <w:t>re was a significant lack</w:t>
      </w:r>
      <w:r>
        <w:rPr>
          <w:rFonts w:ascii="Century Gothic" w:hAnsi="Century Gothic"/>
          <w:sz w:val="22"/>
          <w:szCs w:val="22"/>
        </w:rPr>
        <w:t xml:space="preserve"> of communication</w:t>
      </w:r>
      <w:r w:rsidR="00F93CAE">
        <w:rPr>
          <w:rFonts w:ascii="Century Gothic" w:hAnsi="Century Gothic"/>
          <w:sz w:val="22"/>
          <w:szCs w:val="22"/>
        </w:rPr>
        <w:t xml:space="preserve"> and</w:t>
      </w:r>
      <w:r>
        <w:rPr>
          <w:rFonts w:ascii="Century Gothic" w:hAnsi="Century Gothic"/>
          <w:sz w:val="22"/>
          <w:szCs w:val="22"/>
        </w:rPr>
        <w:t xml:space="preserve"> information sharing</w:t>
      </w:r>
      <w:r w:rsidR="00F93CAE">
        <w:rPr>
          <w:rFonts w:ascii="Century Gothic" w:hAnsi="Century Gothic"/>
          <w:sz w:val="22"/>
          <w:szCs w:val="22"/>
        </w:rPr>
        <w:t xml:space="preserve"> between local authority’s children’s services, health, and </w:t>
      </w:r>
      <w:r w:rsidR="00BE6382">
        <w:rPr>
          <w:rFonts w:ascii="Century Gothic" w:hAnsi="Century Gothic"/>
          <w:sz w:val="22"/>
          <w:szCs w:val="22"/>
        </w:rPr>
        <w:t>two of the voluntary</w:t>
      </w:r>
      <w:r w:rsidR="00F93CAE">
        <w:rPr>
          <w:rFonts w:ascii="Century Gothic" w:hAnsi="Century Gothic"/>
          <w:sz w:val="22"/>
          <w:szCs w:val="22"/>
        </w:rPr>
        <w:t xml:space="preserve"> sector</w:t>
      </w:r>
      <w:r w:rsidR="00BE6382">
        <w:rPr>
          <w:rFonts w:ascii="Century Gothic" w:hAnsi="Century Gothic"/>
          <w:sz w:val="22"/>
          <w:szCs w:val="22"/>
        </w:rPr>
        <w:t xml:space="preserve"> agencies</w:t>
      </w:r>
      <w:r w:rsidR="00F93CAE">
        <w:rPr>
          <w:rFonts w:ascii="Century Gothic" w:hAnsi="Century Gothic"/>
          <w:sz w:val="22"/>
          <w:szCs w:val="22"/>
        </w:rPr>
        <w:t xml:space="preserve">. There can be no clear reason for this, other than individuals not considering the importance of information sharing about the children and a focus on the needs and issues of the parents. </w:t>
      </w:r>
      <w:r w:rsidR="00BE6382">
        <w:rPr>
          <w:rFonts w:ascii="Century Gothic" w:hAnsi="Century Gothic"/>
          <w:sz w:val="22"/>
          <w:szCs w:val="22"/>
        </w:rPr>
        <w:t xml:space="preserve">The refuge staff did contact partner agencies and sought support for the mother and the children whilst at the refuge, yet this still did not prompt agencies to discuss the children with each other. </w:t>
      </w:r>
    </w:p>
    <w:p w14:paraId="3509E063" w14:textId="5608C4DE" w:rsidR="008A13AD" w:rsidRPr="00987C89" w:rsidRDefault="002847DF" w:rsidP="00E86BB4">
      <w:pPr>
        <w:pStyle w:val="ListParagraph"/>
        <w:numPr>
          <w:ilvl w:val="1"/>
          <w:numId w:val="10"/>
        </w:numPr>
        <w:spacing w:line="276" w:lineRule="auto"/>
        <w:jc w:val="both"/>
        <w:rPr>
          <w:rFonts w:ascii="Century Gothic" w:hAnsi="Century Gothic"/>
          <w:sz w:val="22"/>
          <w:szCs w:val="22"/>
        </w:rPr>
      </w:pPr>
      <w:r w:rsidRPr="00987C89">
        <w:rPr>
          <w:rFonts w:ascii="Century Gothic" w:hAnsi="Century Gothic"/>
          <w:sz w:val="22"/>
          <w:szCs w:val="22"/>
        </w:rPr>
        <w:t xml:space="preserve">Birth mother asked for help and the community nursery nurse </w:t>
      </w:r>
      <w:r w:rsidR="00A37BE3" w:rsidRPr="00987C89">
        <w:rPr>
          <w:rFonts w:ascii="Century Gothic" w:hAnsi="Century Gothic"/>
          <w:sz w:val="22"/>
          <w:szCs w:val="22"/>
        </w:rPr>
        <w:t xml:space="preserve">did provide </w:t>
      </w:r>
      <w:r w:rsidR="00F632F2" w:rsidRPr="00987C89">
        <w:rPr>
          <w:rFonts w:ascii="Century Gothic" w:hAnsi="Century Gothic"/>
          <w:sz w:val="22"/>
          <w:szCs w:val="22"/>
        </w:rPr>
        <w:t>practical guidance</w:t>
      </w:r>
      <w:r w:rsidR="00515FFF" w:rsidRPr="00987C89">
        <w:rPr>
          <w:rFonts w:ascii="Century Gothic" w:hAnsi="Century Gothic"/>
          <w:sz w:val="22"/>
          <w:szCs w:val="22"/>
        </w:rPr>
        <w:t xml:space="preserve"> for Child T’s development. </w:t>
      </w:r>
      <w:r w:rsidR="00892E1B">
        <w:rPr>
          <w:rFonts w:ascii="Century Gothic" w:hAnsi="Century Gothic"/>
          <w:sz w:val="22"/>
          <w:szCs w:val="22"/>
        </w:rPr>
        <w:t xml:space="preserve">Given birth mother already had significant needs of her own, it is questionable whether </w:t>
      </w:r>
      <w:r w:rsidR="004C60D0" w:rsidRPr="00987C89">
        <w:rPr>
          <w:rFonts w:ascii="Century Gothic" w:hAnsi="Century Gothic"/>
          <w:sz w:val="22"/>
          <w:szCs w:val="22"/>
        </w:rPr>
        <w:t xml:space="preserve">providing </w:t>
      </w:r>
      <w:r w:rsidR="00892E1B">
        <w:rPr>
          <w:rFonts w:ascii="Century Gothic" w:hAnsi="Century Gothic"/>
          <w:sz w:val="22"/>
          <w:szCs w:val="22"/>
        </w:rPr>
        <w:t xml:space="preserve">her with </w:t>
      </w:r>
      <w:r w:rsidR="004C60D0" w:rsidRPr="00987C89">
        <w:rPr>
          <w:rFonts w:ascii="Century Gothic" w:hAnsi="Century Gothic"/>
          <w:sz w:val="22"/>
          <w:szCs w:val="22"/>
        </w:rPr>
        <w:t>behaviour management techniques</w:t>
      </w:r>
      <w:r w:rsidR="00892E1B">
        <w:rPr>
          <w:rFonts w:ascii="Century Gothic" w:hAnsi="Century Gothic"/>
          <w:sz w:val="22"/>
          <w:szCs w:val="22"/>
        </w:rPr>
        <w:t xml:space="preserve"> for her child was likely to be effective. </w:t>
      </w:r>
      <w:r w:rsidR="00684A30" w:rsidRPr="00987C89">
        <w:rPr>
          <w:rFonts w:ascii="Century Gothic" w:hAnsi="Century Gothic"/>
          <w:sz w:val="22"/>
          <w:szCs w:val="22"/>
        </w:rPr>
        <w:t xml:space="preserve"> </w:t>
      </w:r>
    </w:p>
    <w:p w14:paraId="3AC80B32" w14:textId="06243BE9" w:rsidR="00F03E4F" w:rsidRDefault="00696B66" w:rsidP="00482E7A">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Safeguarding agencies focused attention on </w:t>
      </w:r>
      <w:r w:rsidR="005F1190">
        <w:rPr>
          <w:rFonts w:ascii="Century Gothic" w:hAnsi="Century Gothic"/>
          <w:sz w:val="22"/>
          <w:szCs w:val="22"/>
        </w:rPr>
        <w:t xml:space="preserve">the behaviour of the </w:t>
      </w:r>
      <w:r>
        <w:rPr>
          <w:rFonts w:ascii="Century Gothic" w:hAnsi="Century Gothic"/>
          <w:sz w:val="22"/>
          <w:szCs w:val="22"/>
        </w:rPr>
        <w:t>adult</w:t>
      </w:r>
      <w:r w:rsidR="005F1190">
        <w:rPr>
          <w:rFonts w:ascii="Century Gothic" w:hAnsi="Century Gothic"/>
          <w:sz w:val="22"/>
          <w:szCs w:val="22"/>
        </w:rPr>
        <w:t xml:space="preserve">s </w:t>
      </w:r>
      <w:r>
        <w:rPr>
          <w:rFonts w:ascii="Century Gothic" w:hAnsi="Century Gothic"/>
          <w:sz w:val="22"/>
          <w:szCs w:val="22"/>
        </w:rPr>
        <w:t xml:space="preserve">to address </w:t>
      </w:r>
      <w:r w:rsidR="005F1190">
        <w:rPr>
          <w:rFonts w:ascii="Century Gothic" w:hAnsi="Century Gothic"/>
          <w:sz w:val="22"/>
          <w:szCs w:val="22"/>
        </w:rPr>
        <w:t>safety from risk and harm</w:t>
      </w:r>
      <w:r>
        <w:rPr>
          <w:rFonts w:ascii="Century Gothic" w:hAnsi="Century Gothic"/>
          <w:sz w:val="22"/>
          <w:szCs w:val="22"/>
        </w:rPr>
        <w:t xml:space="preserve">. </w:t>
      </w:r>
      <w:r w:rsidR="00050501">
        <w:rPr>
          <w:rFonts w:ascii="Century Gothic" w:hAnsi="Century Gothic"/>
          <w:sz w:val="22"/>
          <w:szCs w:val="22"/>
        </w:rPr>
        <w:t xml:space="preserve">Safety for the children </w:t>
      </w:r>
      <w:r w:rsidR="00707104">
        <w:rPr>
          <w:rFonts w:ascii="Century Gothic" w:hAnsi="Century Gothic"/>
          <w:sz w:val="22"/>
          <w:szCs w:val="22"/>
        </w:rPr>
        <w:t>was</w:t>
      </w:r>
      <w:r w:rsidR="00050501">
        <w:rPr>
          <w:rFonts w:ascii="Century Gothic" w:hAnsi="Century Gothic"/>
          <w:sz w:val="22"/>
          <w:szCs w:val="22"/>
        </w:rPr>
        <w:t xml:space="preserve"> birth mother taking appropriate action to flee a domestically abusive </w:t>
      </w:r>
      <w:r w:rsidR="005F1190">
        <w:rPr>
          <w:rFonts w:ascii="Century Gothic" w:hAnsi="Century Gothic"/>
          <w:sz w:val="22"/>
          <w:szCs w:val="22"/>
        </w:rPr>
        <w:t>relationship yet</w:t>
      </w:r>
      <w:r w:rsidR="00D129BC">
        <w:rPr>
          <w:rFonts w:ascii="Century Gothic" w:hAnsi="Century Gothic"/>
          <w:sz w:val="22"/>
          <w:szCs w:val="22"/>
        </w:rPr>
        <w:t xml:space="preserve"> </w:t>
      </w:r>
      <w:r w:rsidR="005F1190">
        <w:rPr>
          <w:rFonts w:ascii="Century Gothic" w:hAnsi="Century Gothic"/>
          <w:sz w:val="22"/>
          <w:szCs w:val="22"/>
        </w:rPr>
        <w:lastRenderedPageBreak/>
        <w:t xml:space="preserve">safeguarding </w:t>
      </w:r>
      <w:r w:rsidR="00324E38">
        <w:rPr>
          <w:rFonts w:ascii="Century Gothic" w:hAnsi="Century Gothic"/>
          <w:sz w:val="22"/>
          <w:szCs w:val="22"/>
        </w:rPr>
        <w:t>a</w:t>
      </w:r>
      <w:r w:rsidR="00707104">
        <w:rPr>
          <w:rFonts w:ascii="Century Gothic" w:hAnsi="Century Gothic"/>
          <w:sz w:val="22"/>
          <w:szCs w:val="22"/>
        </w:rPr>
        <w:t xml:space="preserve">gencies </w:t>
      </w:r>
      <w:r w:rsidR="00265323">
        <w:rPr>
          <w:rFonts w:ascii="Century Gothic" w:hAnsi="Century Gothic"/>
          <w:sz w:val="22"/>
          <w:szCs w:val="22"/>
        </w:rPr>
        <w:t>did not</w:t>
      </w:r>
      <w:r w:rsidR="00707104">
        <w:rPr>
          <w:rFonts w:ascii="Century Gothic" w:hAnsi="Century Gothic"/>
          <w:sz w:val="22"/>
          <w:szCs w:val="22"/>
        </w:rPr>
        <w:t xml:space="preserve"> </w:t>
      </w:r>
      <w:r w:rsidR="00265323">
        <w:rPr>
          <w:rFonts w:ascii="Century Gothic" w:hAnsi="Century Gothic"/>
          <w:sz w:val="22"/>
          <w:szCs w:val="22"/>
        </w:rPr>
        <w:t>investigate and</w:t>
      </w:r>
      <w:r w:rsidR="00707104">
        <w:rPr>
          <w:rFonts w:ascii="Century Gothic" w:hAnsi="Century Gothic"/>
          <w:sz w:val="22"/>
          <w:szCs w:val="22"/>
        </w:rPr>
        <w:t xml:space="preserve"> were not professionally curious</w:t>
      </w:r>
      <w:r w:rsidR="00324E38">
        <w:rPr>
          <w:rFonts w:ascii="Century Gothic" w:hAnsi="Century Gothic"/>
          <w:sz w:val="22"/>
          <w:szCs w:val="22"/>
        </w:rPr>
        <w:t xml:space="preserve"> as</w:t>
      </w:r>
      <w:r w:rsidR="00707104">
        <w:rPr>
          <w:rFonts w:ascii="Century Gothic" w:hAnsi="Century Gothic"/>
          <w:sz w:val="22"/>
          <w:szCs w:val="22"/>
        </w:rPr>
        <w:t xml:space="preserve"> to the children’s presentation</w:t>
      </w:r>
      <w:r w:rsidR="005F1190">
        <w:rPr>
          <w:rFonts w:ascii="Century Gothic" w:hAnsi="Century Gothic"/>
          <w:sz w:val="22"/>
          <w:szCs w:val="22"/>
        </w:rPr>
        <w:t>. The history of poor parenting and neglect, as well as the children’s experience of domestic abuse had not been fully considered.</w:t>
      </w:r>
    </w:p>
    <w:p w14:paraId="371B1FC7" w14:textId="4A36C8F9" w:rsidR="005F1190" w:rsidRDefault="005F1190" w:rsidP="00482E7A">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The refuge highlighted the lack of support and services for children under 5 who have experienced domestic </w:t>
      </w:r>
      <w:r w:rsidR="000D1036">
        <w:rPr>
          <w:rFonts w:ascii="Century Gothic" w:hAnsi="Century Gothic"/>
          <w:sz w:val="22"/>
          <w:szCs w:val="22"/>
        </w:rPr>
        <w:t xml:space="preserve">abuse and have raised this as a gap in service provision. </w:t>
      </w:r>
    </w:p>
    <w:p w14:paraId="48512ACD" w14:textId="09D02B93" w:rsidR="00206A38" w:rsidRDefault="003A1E00" w:rsidP="00E86BB4">
      <w:pPr>
        <w:pStyle w:val="ListParagraph"/>
        <w:numPr>
          <w:ilvl w:val="1"/>
          <w:numId w:val="10"/>
        </w:numPr>
        <w:spacing w:line="276" w:lineRule="auto"/>
        <w:jc w:val="both"/>
        <w:rPr>
          <w:rFonts w:ascii="Century Gothic" w:hAnsi="Century Gothic"/>
          <w:sz w:val="22"/>
          <w:szCs w:val="22"/>
        </w:rPr>
      </w:pPr>
      <w:r w:rsidRPr="003A1E00">
        <w:rPr>
          <w:rFonts w:ascii="Century Gothic" w:hAnsi="Century Gothic"/>
          <w:sz w:val="22"/>
          <w:szCs w:val="22"/>
        </w:rPr>
        <w:t xml:space="preserve">The impact and children’s experiences of domestic abuse on children should prompt </w:t>
      </w:r>
      <w:r w:rsidR="00E055FE">
        <w:rPr>
          <w:rFonts w:ascii="Century Gothic" w:hAnsi="Century Gothic"/>
          <w:sz w:val="22"/>
          <w:szCs w:val="22"/>
        </w:rPr>
        <w:t xml:space="preserve">children’s social care </w:t>
      </w:r>
      <w:r w:rsidRPr="003A1E00">
        <w:rPr>
          <w:rFonts w:ascii="Century Gothic" w:hAnsi="Century Gothic"/>
          <w:sz w:val="22"/>
          <w:szCs w:val="22"/>
        </w:rPr>
        <w:t xml:space="preserve">to assess need under Section 17 of the Children Act 1989 regardless of who is considered the ‘so called’ protective parent. </w:t>
      </w:r>
    </w:p>
    <w:p w14:paraId="1AA1EA11" w14:textId="77777777" w:rsidR="009F3F9E" w:rsidRDefault="009F3F9E" w:rsidP="00206A38">
      <w:pPr>
        <w:pStyle w:val="ListParagraph"/>
        <w:spacing w:line="276" w:lineRule="auto"/>
        <w:ind w:left="1080"/>
        <w:jc w:val="both"/>
        <w:rPr>
          <w:rFonts w:ascii="Century Gothic" w:hAnsi="Century Gothic"/>
          <w:sz w:val="22"/>
          <w:szCs w:val="22"/>
        </w:rPr>
      </w:pPr>
    </w:p>
    <w:p w14:paraId="618DC0D8" w14:textId="422048CD" w:rsidR="00826A49" w:rsidRDefault="0074260E" w:rsidP="00826A49">
      <w:pPr>
        <w:pStyle w:val="ListParagraph"/>
        <w:numPr>
          <w:ilvl w:val="0"/>
          <w:numId w:val="10"/>
        </w:numPr>
        <w:spacing w:line="276" w:lineRule="auto"/>
        <w:jc w:val="both"/>
        <w:rPr>
          <w:rFonts w:ascii="Century Gothic" w:hAnsi="Century Gothic"/>
          <w:b/>
          <w:bCs/>
          <w:sz w:val="22"/>
          <w:szCs w:val="22"/>
        </w:rPr>
      </w:pPr>
      <w:r w:rsidRPr="00826A49">
        <w:rPr>
          <w:rFonts w:ascii="Century Gothic" w:hAnsi="Century Gothic"/>
          <w:sz w:val="22"/>
          <w:szCs w:val="22"/>
        </w:rPr>
        <w:t xml:space="preserve"> </w:t>
      </w:r>
      <w:r w:rsidR="00826A49" w:rsidRPr="00F74E03">
        <w:rPr>
          <w:rFonts w:ascii="Century Gothic" w:hAnsi="Century Gothic"/>
          <w:b/>
          <w:bCs/>
          <w:sz w:val="22"/>
          <w:szCs w:val="22"/>
        </w:rPr>
        <w:t>Birth mother and birth father relationship and domestic abuse</w:t>
      </w:r>
    </w:p>
    <w:p w14:paraId="6B95B211" w14:textId="77777777" w:rsidR="00715DC0" w:rsidRPr="00F74E03" w:rsidRDefault="00715DC0" w:rsidP="00715DC0">
      <w:pPr>
        <w:pStyle w:val="ListParagraph"/>
        <w:spacing w:line="276" w:lineRule="auto"/>
        <w:jc w:val="both"/>
        <w:rPr>
          <w:rFonts w:ascii="Century Gothic" w:hAnsi="Century Gothic"/>
          <w:b/>
          <w:bCs/>
          <w:sz w:val="22"/>
          <w:szCs w:val="22"/>
        </w:rPr>
      </w:pPr>
    </w:p>
    <w:p w14:paraId="398A2DF4" w14:textId="08CF420C" w:rsidR="00F447EE" w:rsidRPr="00F74E03" w:rsidRDefault="00F447EE" w:rsidP="00F447EE">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t xml:space="preserve">There is a consistent pattern of reconciliation and separation </w:t>
      </w:r>
      <w:r>
        <w:rPr>
          <w:rFonts w:ascii="Century Gothic" w:hAnsi="Century Gothic"/>
          <w:sz w:val="22"/>
          <w:szCs w:val="22"/>
        </w:rPr>
        <w:t xml:space="preserve">of the birth parents </w:t>
      </w:r>
      <w:r w:rsidRPr="00F74E03">
        <w:rPr>
          <w:rFonts w:ascii="Century Gothic" w:hAnsi="Century Gothic"/>
          <w:sz w:val="22"/>
          <w:szCs w:val="22"/>
        </w:rPr>
        <w:t xml:space="preserve">and the eldest child has lived between both parents in her short life. There have been protracted custody disputes, contact arrangements and a history of one or either parent removing the children at contact sessions or not returning them to the other parents’ care. The referrals that brought the family to the attention of </w:t>
      </w:r>
      <w:r>
        <w:rPr>
          <w:rFonts w:ascii="Century Gothic" w:hAnsi="Century Gothic"/>
          <w:sz w:val="22"/>
          <w:szCs w:val="22"/>
        </w:rPr>
        <w:t>children’s social care</w:t>
      </w:r>
      <w:r w:rsidRPr="00F74E03">
        <w:rPr>
          <w:rFonts w:ascii="Century Gothic" w:hAnsi="Century Gothic"/>
          <w:sz w:val="22"/>
          <w:szCs w:val="22"/>
        </w:rPr>
        <w:t xml:space="preserve"> were reports of a domestic abuse incident perpetrated by birth father. Birth father himself accepts that he needed support at that time and had agreed to work alongside a family support domestic abuse </w:t>
      </w:r>
      <w:r w:rsidR="005D36CC" w:rsidRPr="00F74E03">
        <w:rPr>
          <w:rFonts w:ascii="Century Gothic" w:hAnsi="Century Gothic"/>
          <w:sz w:val="22"/>
          <w:szCs w:val="22"/>
        </w:rPr>
        <w:t>worker,</w:t>
      </w:r>
      <w:r>
        <w:rPr>
          <w:rFonts w:ascii="Century Gothic" w:hAnsi="Century Gothic"/>
          <w:sz w:val="22"/>
          <w:szCs w:val="22"/>
        </w:rPr>
        <w:t xml:space="preserve"> but t</w:t>
      </w:r>
      <w:r w:rsidRPr="00F74E03">
        <w:rPr>
          <w:rFonts w:ascii="Century Gothic" w:hAnsi="Century Gothic"/>
          <w:sz w:val="22"/>
          <w:szCs w:val="22"/>
        </w:rPr>
        <w:t xml:space="preserve">his work never materialised. </w:t>
      </w:r>
    </w:p>
    <w:p w14:paraId="0C204A39" w14:textId="3CBD0AF1" w:rsidR="00826A49" w:rsidRDefault="00826A49" w:rsidP="00826A49">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 birth parents originate from different religious and cultural backgrounds</w:t>
      </w:r>
      <w:r w:rsidR="00F57479">
        <w:rPr>
          <w:rFonts w:ascii="Century Gothic" w:hAnsi="Century Gothic"/>
          <w:sz w:val="22"/>
          <w:szCs w:val="22"/>
        </w:rPr>
        <w:t xml:space="preserve">. </w:t>
      </w:r>
      <w:r>
        <w:rPr>
          <w:rFonts w:ascii="Century Gothic" w:hAnsi="Century Gothic"/>
          <w:sz w:val="22"/>
          <w:szCs w:val="22"/>
        </w:rPr>
        <w:t xml:space="preserve"> </w:t>
      </w:r>
      <w:r w:rsidR="00F57479">
        <w:rPr>
          <w:rFonts w:ascii="Century Gothic" w:hAnsi="Century Gothic"/>
          <w:sz w:val="22"/>
          <w:szCs w:val="22"/>
        </w:rPr>
        <w:t>Birth father is black African and birth mother is of Pakistani origin and the</w:t>
      </w:r>
      <w:r w:rsidR="00416DD2">
        <w:rPr>
          <w:rFonts w:ascii="Century Gothic" w:hAnsi="Century Gothic"/>
          <w:sz w:val="22"/>
          <w:szCs w:val="22"/>
        </w:rPr>
        <w:t>ir</w:t>
      </w:r>
      <w:r w:rsidR="00F57479">
        <w:rPr>
          <w:rFonts w:ascii="Century Gothic" w:hAnsi="Century Gothic"/>
          <w:sz w:val="22"/>
          <w:szCs w:val="22"/>
        </w:rPr>
        <w:t xml:space="preserve"> relationship was a source of tension in birth mother’s family, particularly birth mother’s stepfather. This caused additional stress to the birth mother and made it more challenging for her to seek family support in her situation. </w:t>
      </w:r>
      <w:r>
        <w:rPr>
          <w:rFonts w:ascii="Century Gothic" w:hAnsi="Century Gothic"/>
          <w:sz w:val="22"/>
          <w:szCs w:val="22"/>
        </w:rPr>
        <w:t>The children</w:t>
      </w:r>
      <w:r w:rsidR="006D599D">
        <w:rPr>
          <w:rFonts w:ascii="Century Gothic" w:hAnsi="Century Gothic"/>
          <w:sz w:val="22"/>
          <w:szCs w:val="22"/>
        </w:rPr>
        <w:t xml:space="preserve"> had</w:t>
      </w:r>
      <w:r>
        <w:rPr>
          <w:rFonts w:ascii="Century Gothic" w:hAnsi="Century Gothic"/>
          <w:sz w:val="22"/>
          <w:szCs w:val="22"/>
        </w:rPr>
        <w:t xml:space="preserve"> </w:t>
      </w:r>
      <w:r w:rsidR="0020435E">
        <w:rPr>
          <w:rFonts w:ascii="Century Gothic" w:hAnsi="Century Gothic"/>
          <w:sz w:val="22"/>
          <w:szCs w:val="22"/>
        </w:rPr>
        <w:t xml:space="preserve">a </w:t>
      </w:r>
      <w:r>
        <w:rPr>
          <w:rFonts w:ascii="Century Gothic" w:hAnsi="Century Gothic"/>
          <w:sz w:val="22"/>
          <w:szCs w:val="22"/>
        </w:rPr>
        <w:t xml:space="preserve">different religious </w:t>
      </w:r>
      <w:r w:rsidR="00A44F35">
        <w:rPr>
          <w:rFonts w:ascii="Century Gothic" w:hAnsi="Century Gothic"/>
          <w:sz w:val="22"/>
          <w:szCs w:val="22"/>
        </w:rPr>
        <w:t>upbringing</w:t>
      </w:r>
      <w:r>
        <w:rPr>
          <w:rFonts w:ascii="Century Gothic" w:hAnsi="Century Gothic"/>
          <w:sz w:val="22"/>
          <w:szCs w:val="22"/>
        </w:rPr>
        <w:t xml:space="preserve"> until they were in the sole care of birth mother </w:t>
      </w:r>
      <w:r w:rsidR="0020435E">
        <w:rPr>
          <w:rFonts w:ascii="Century Gothic" w:hAnsi="Century Gothic"/>
          <w:sz w:val="22"/>
          <w:szCs w:val="22"/>
        </w:rPr>
        <w:t xml:space="preserve">when she </w:t>
      </w:r>
      <w:r w:rsidR="00C2451E">
        <w:rPr>
          <w:rFonts w:ascii="Century Gothic" w:hAnsi="Century Gothic"/>
          <w:sz w:val="22"/>
          <w:szCs w:val="22"/>
        </w:rPr>
        <w:t>reverted</w:t>
      </w:r>
      <w:r>
        <w:rPr>
          <w:rFonts w:ascii="Century Gothic" w:hAnsi="Century Gothic"/>
          <w:sz w:val="22"/>
          <w:szCs w:val="22"/>
        </w:rPr>
        <w:t xml:space="preserve"> to her Muslim faith.</w:t>
      </w:r>
      <w:r w:rsidR="000F2331">
        <w:rPr>
          <w:rFonts w:ascii="Century Gothic" w:hAnsi="Century Gothic"/>
          <w:sz w:val="22"/>
          <w:szCs w:val="22"/>
        </w:rPr>
        <w:t xml:space="preserve"> Th</w:t>
      </w:r>
      <w:r w:rsidR="00F57479">
        <w:rPr>
          <w:rFonts w:ascii="Century Gothic" w:hAnsi="Century Gothic"/>
          <w:sz w:val="22"/>
          <w:szCs w:val="22"/>
        </w:rPr>
        <w:t>e</w:t>
      </w:r>
      <w:r w:rsidR="000F2331">
        <w:rPr>
          <w:rFonts w:ascii="Century Gothic" w:hAnsi="Century Gothic"/>
          <w:sz w:val="22"/>
          <w:szCs w:val="22"/>
        </w:rPr>
        <w:t xml:space="preserve"> issue</w:t>
      </w:r>
      <w:r w:rsidR="00F57479">
        <w:rPr>
          <w:rFonts w:ascii="Century Gothic" w:hAnsi="Century Gothic"/>
          <w:sz w:val="22"/>
          <w:szCs w:val="22"/>
        </w:rPr>
        <w:t>s of race</w:t>
      </w:r>
      <w:r w:rsidR="00416DD2">
        <w:rPr>
          <w:rFonts w:ascii="Century Gothic" w:hAnsi="Century Gothic"/>
          <w:sz w:val="22"/>
          <w:szCs w:val="22"/>
        </w:rPr>
        <w:t xml:space="preserve">, </w:t>
      </w:r>
      <w:r w:rsidR="00F57479">
        <w:rPr>
          <w:rFonts w:ascii="Century Gothic" w:hAnsi="Century Gothic"/>
          <w:sz w:val="22"/>
          <w:szCs w:val="22"/>
        </w:rPr>
        <w:t xml:space="preserve">culture and </w:t>
      </w:r>
      <w:r w:rsidR="00416DD2">
        <w:rPr>
          <w:rFonts w:ascii="Century Gothic" w:hAnsi="Century Gothic"/>
          <w:sz w:val="22"/>
          <w:szCs w:val="22"/>
        </w:rPr>
        <w:t xml:space="preserve">religion and their </w:t>
      </w:r>
      <w:r w:rsidR="00F57479">
        <w:rPr>
          <w:rFonts w:ascii="Century Gothic" w:hAnsi="Century Gothic"/>
          <w:sz w:val="22"/>
          <w:szCs w:val="22"/>
        </w:rPr>
        <w:t xml:space="preserve">impact on risk and harm were not fully </w:t>
      </w:r>
      <w:r w:rsidR="000F2331">
        <w:rPr>
          <w:rFonts w:ascii="Century Gothic" w:hAnsi="Century Gothic"/>
          <w:sz w:val="22"/>
          <w:szCs w:val="22"/>
        </w:rPr>
        <w:t>considered in the assessments completed</w:t>
      </w:r>
      <w:r w:rsidR="00416DD2">
        <w:rPr>
          <w:rFonts w:ascii="Century Gothic" w:hAnsi="Century Gothic"/>
          <w:sz w:val="22"/>
          <w:szCs w:val="22"/>
        </w:rPr>
        <w:t xml:space="preserve">. </w:t>
      </w:r>
      <w:r w:rsidR="002617EB">
        <w:rPr>
          <w:rFonts w:ascii="Century Gothic" w:hAnsi="Century Gothic"/>
          <w:sz w:val="22"/>
          <w:szCs w:val="22"/>
        </w:rPr>
        <w:t xml:space="preserve"> </w:t>
      </w:r>
    </w:p>
    <w:p w14:paraId="7C1E478E" w14:textId="130844F2" w:rsidR="009711E9" w:rsidRPr="009711E9" w:rsidRDefault="00F05BCD" w:rsidP="009711E9">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t xml:space="preserve">Birth father continued to raise concerns about birth mother’s care of the eldest child and </w:t>
      </w:r>
      <w:r>
        <w:rPr>
          <w:rFonts w:ascii="Century Gothic" w:hAnsi="Century Gothic"/>
          <w:sz w:val="22"/>
          <w:szCs w:val="22"/>
        </w:rPr>
        <w:t>children’s social care</w:t>
      </w:r>
      <w:r w:rsidRPr="00F74E03">
        <w:rPr>
          <w:rFonts w:ascii="Century Gothic" w:hAnsi="Century Gothic"/>
          <w:sz w:val="22"/>
          <w:szCs w:val="22"/>
        </w:rPr>
        <w:t xml:space="preserve"> chronolog</w:t>
      </w:r>
      <w:r w:rsidR="005D36CC">
        <w:rPr>
          <w:rFonts w:ascii="Century Gothic" w:hAnsi="Century Gothic"/>
          <w:sz w:val="22"/>
          <w:szCs w:val="22"/>
        </w:rPr>
        <w:t>y</w:t>
      </w:r>
      <w:r w:rsidRPr="00F74E03">
        <w:rPr>
          <w:rFonts w:ascii="Century Gothic" w:hAnsi="Century Gothic"/>
          <w:sz w:val="22"/>
          <w:szCs w:val="22"/>
        </w:rPr>
        <w:t xml:space="preserve"> back up his assertion that birth mother was involved in drug and alcohol misuse, that the family home was in a very poor condition and birth mother’s associations placed the eldest child at risk. </w:t>
      </w:r>
      <w:r w:rsidR="00184A4E">
        <w:rPr>
          <w:rFonts w:ascii="Century Gothic" w:hAnsi="Century Gothic"/>
          <w:sz w:val="22"/>
          <w:szCs w:val="22"/>
        </w:rPr>
        <w:t xml:space="preserve">Birth mother reported threats had been made by birth father about the future care of the children. </w:t>
      </w:r>
      <w:r w:rsidR="00C34DC1">
        <w:rPr>
          <w:rFonts w:ascii="Century Gothic" w:hAnsi="Century Gothic"/>
          <w:sz w:val="22"/>
          <w:szCs w:val="22"/>
        </w:rPr>
        <w:t>Those</w:t>
      </w:r>
      <w:r w:rsidR="00184A4E">
        <w:rPr>
          <w:rFonts w:ascii="Century Gothic" w:hAnsi="Century Gothic"/>
          <w:sz w:val="22"/>
          <w:szCs w:val="22"/>
        </w:rPr>
        <w:t xml:space="preserve"> issues</w:t>
      </w:r>
      <w:r w:rsidR="00C34DC1">
        <w:rPr>
          <w:rFonts w:ascii="Century Gothic" w:hAnsi="Century Gothic"/>
          <w:sz w:val="22"/>
          <w:szCs w:val="22"/>
        </w:rPr>
        <w:t xml:space="preserve"> </w:t>
      </w:r>
      <w:r w:rsidR="004D3D89">
        <w:rPr>
          <w:rFonts w:ascii="Century Gothic" w:hAnsi="Century Gothic"/>
          <w:sz w:val="22"/>
          <w:szCs w:val="22"/>
        </w:rPr>
        <w:t xml:space="preserve">were not </w:t>
      </w:r>
      <w:r w:rsidR="00184A4E">
        <w:rPr>
          <w:rFonts w:ascii="Century Gothic" w:hAnsi="Century Gothic"/>
          <w:sz w:val="22"/>
          <w:szCs w:val="22"/>
        </w:rPr>
        <w:t>the subject of much analysis in assessments and whether th</w:t>
      </w:r>
      <w:r w:rsidR="005D36CC">
        <w:rPr>
          <w:rFonts w:ascii="Century Gothic" w:hAnsi="Century Gothic"/>
          <w:sz w:val="22"/>
          <w:szCs w:val="22"/>
        </w:rPr>
        <w:t>e concerns</w:t>
      </w:r>
      <w:r w:rsidR="00184A4E">
        <w:rPr>
          <w:rFonts w:ascii="Century Gothic" w:hAnsi="Century Gothic"/>
          <w:sz w:val="22"/>
          <w:szCs w:val="22"/>
        </w:rPr>
        <w:t xml:space="preserve"> were considered a true reflection of birth mother’s care or part of birth father’s </w:t>
      </w:r>
      <w:r w:rsidR="00184A4E">
        <w:rPr>
          <w:rFonts w:ascii="Century Gothic" w:hAnsi="Century Gothic"/>
          <w:sz w:val="22"/>
          <w:szCs w:val="22"/>
        </w:rPr>
        <w:lastRenderedPageBreak/>
        <w:t xml:space="preserve">ongoing domestically abusive behaviour through </w:t>
      </w:r>
      <w:r w:rsidRPr="00F74E03">
        <w:rPr>
          <w:rFonts w:ascii="Century Gothic" w:hAnsi="Century Gothic"/>
          <w:sz w:val="22"/>
          <w:szCs w:val="22"/>
        </w:rPr>
        <w:t>coercive control</w:t>
      </w:r>
      <w:r>
        <w:rPr>
          <w:rStyle w:val="FootnoteReference"/>
          <w:rFonts w:ascii="Century Gothic" w:hAnsi="Century Gothic"/>
          <w:sz w:val="22"/>
          <w:szCs w:val="22"/>
        </w:rPr>
        <w:footnoteReference w:id="7"/>
      </w:r>
      <w:r>
        <w:rPr>
          <w:rFonts w:ascii="Century Gothic" w:hAnsi="Century Gothic"/>
          <w:sz w:val="22"/>
          <w:szCs w:val="22"/>
        </w:rPr>
        <w:t xml:space="preserve"> of birth mothe</w:t>
      </w:r>
      <w:r w:rsidR="003527B2">
        <w:rPr>
          <w:rFonts w:ascii="Century Gothic" w:hAnsi="Century Gothic"/>
          <w:sz w:val="22"/>
          <w:szCs w:val="22"/>
        </w:rPr>
        <w:t>r</w:t>
      </w:r>
      <w:r>
        <w:rPr>
          <w:rFonts w:ascii="Century Gothic" w:hAnsi="Century Gothic"/>
          <w:sz w:val="22"/>
          <w:szCs w:val="22"/>
        </w:rPr>
        <w:t xml:space="preserve">. </w:t>
      </w:r>
    </w:p>
    <w:p w14:paraId="0511AD28" w14:textId="3BE35079" w:rsidR="00F447EE" w:rsidRDefault="00F447EE" w:rsidP="00F447EE">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Birth mother has a significant history of childhood trauma and abusive, controlling, exploitative adult relationships. </w:t>
      </w:r>
      <w:r w:rsidR="005D36CC">
        <w:rPr>
          <w:rFonts w:ascii="Century Gothic" w:hAnsi="Century Gothic"/>
          <w:sz w:val="22"/>
          <w:szCs w:val="22"/>
        </w:rPr>
        <w:t>She struggled to engage with services and actively disengaged with support. Her experiences have impacted upon her ability to make</w:t>
      </w:r>
      <w:r w:rsidR="0020435E">
        <w:rPr>
          <w:rFonts w:ascii="Century Gothic" w:hAnsi="Century Gothic"/>
          <w:sz w:val="22"/>
          <w:szCs w:val="22"/>
        </w:rPr>
        <w:t xml:space="preserve"> </w:t>
      </w:r>
      <w:r w:rsidR="005D36CC">
        <w:rPr>
          <w:rFonts w:ascii="Century Gothic" w:hAnsi="Century Gothic"/>
          <w:sz w:val="22"/>
          <w:szCs w:val="22"/>
        </w:rPr>
        <w:t xml:space="preserve">decisions </w:t>
      </w:r>
      <w:r w:rsidR="0020435E">
        <w:rPr>
          <w:rFonts w:ascii="Century Gothic" w:hAnsi="Century Gothic"/>
          <w:sz w:val="22"/>
          <w:szCs w:val="22"/>
        </w:rPr>
        <w:t>based</w:t>
      </w:r>
      <w:r w:rsidR="005D36CC">
        <w:rPr>
          <w:rFonts w:ascii="Century Gothic" w:hAnsi="Century Gothic"/>
          <w:sz w:val="22"/>
          <w:szCs w:val="22"/>
        </w:rPr>
        <w:t xml:space="preserve"> on the needs of her children.</w:t>
      </w:r>
    </w:p>
    <w:p w14:paraId="227BD0A0" w14:textId="37D8E43A" w:rsidR="00345BBD" w:rsidRDefault="00752719" w:rsidP="00E86BB4">
      <w:pPr>
        <w:pStyle w:val="ListParagraph"/>
        <w:numPr>
          <w:ilvl w:val="1"/>
          <w:numId w:val="10"/>
        </w:numPr>
        <w:spacing w:line="276" w:lineRule="auto"/>
        <w:jc w:val="both"/>
        <w:rPr>
          <w:rFonts w:ascii="Century Gothic" w:hAnsi="Century Gothic"/>
          <w:sz w:val="22"/>
          <w:szCs w:val="22"/>
        </w:rPr>
      </w:pPr>
      <w:r w:rsidRPr="00AA3204">
        <w:rPr>
          <w:rFonts w:ascii="Century Gothic" w:hAnsi="Century Gothic"/>
          <w:sz w:val="22"/>
          <w:szCs w:val="22"/>
        </w:rPr>
        <w:t>Birth father was assesse</w:t>
      </w:r>
      <w:r w:rsidR="005F1F79">
        <w:rPr>
          <w:rFonts w:ascii="Century Gothic" w:hAnsi="Century Gothic"/>
          <w:sz w:val="22"/>
          <w:szCs w:val="22"/>
        </w:rPr>
        <w:t>d</w:t>
      </w:r>
      <w:r w:rsidR="005F1F79" w:rsidRPr="00AA3204">
        <w:rPr>
          <w:rFonts w:ascii="Century Gothic" w:hAnsi="Century Gothic"/>
          <w:sz w:val="22"/>
          <w:szCs w:val="22"/>
        </w:rPr>
        <w:t xml:space="preserve"> </w:t>
      </w:r>
      <w:r w:rsidR="005F1F79">
        <w:rPr>
          <w:rFonts w:ascii="Century Gothic" w:hAnsi="Century Gothic"/>
          <w:sz w:val="22"/>
          <w:szCs w:val="22"/>
        </w:rPr>
        <w:t>as providing</w:t>
      </w:r>
      <w:r w:rsidR="005F1F79" w:rsidRPr="00AA3204">
        <w:rPr>
          <w:rFonts w:ascii="Century Gothic" w:hAnsi="Century Gothic"/>
          <w:sz w:val="22"/>
          <w:szCs w:val="22"/>
        </w:rPr>
        <w:t xml:space="preserve"> child focused care</w:t>
      </w:r>
      <w:r w:rsidR="005F1F79">
        <w:rPr>
          <w:rFonts w:ascii="Century Gothic" w:hAnsi="Century Gothic"/>
          <w:sz w:val="22"/>
          <w:szCs w:val="22"/>
        </w:rPr>
        <w:t xml:space="preserve">. </w:t>
      </w:r>
      <w:r w:rsidR="00F05BCD" w:rsidRPr="00AA3204">
        <w:rPr>
          <w:rFonts w:ascii="Century Gothic" w:hAnsi="Century Gothic"/>
          <w:sz w:val="22"/>
          <w:szCs w:val="22"/>
        </w:rPr>
        <w:t xml:space="preserve"> </w:t>
      </w:r>
      <w:r w:rsidR="003A1E00">
        <w:rPr>
          <w:rFonts w:ascii="Century Gothic" w:hAnsi="Century Gothic"/>
          <w:sz w:val="22"/>
          <w:szCs w:val="22"/>
        </w:rPr>
        <w:t xml:space="preserve">Despite allegations of </w:t>
      </w:r>
      <w:r w:rsidR="00F05BCD" w:rsidRPr="00AA3204">
        <w:rPr>
          <w:rFonts w:ascii="Century Gothic" w:hAnsi="Century Gothic"/>
          <w:sz w:val="22"/>
          <w:szCs w:val="22"/>
        </w:rPr>
        <w:t>domestic abuse and rape made against him by his ex-partner</w:t>
      </w:r>
      <w:r w:rsidR="003A1E00">
        <w:rPr>
          <w:rFonts w:ascii="Century Gothic" w:hAnsi="Century Gothic"/>
          <w:sz w:val="22"/>
          <w:szCs w:val="22"/>
        </w:rPr>
        <w:t xml:space="preserve">, the courts </w:t>
      </w:r>
      <w:r w:rsidR="00A61E98">
        <w:rPr>
          <w:rFonts w:ascii="Century Gothic" w:hAnsi="Century Gothic"/>
          <w:sz w:val="22"/>
          <w:szCs w:val="22"/>
        </w:rPr>
        <w:t>and children’s s</w:t>
      </w:r>
      <w:r w:rsidR="00184A4E">
        <w:rPr>
          <w:rFonts w:ascii="Century Gothic" w:hAnsi="Century Gothic"/>
          <w:sz w:val="22"/>
          <w:szCs w:val="22"/>
        </w:rPr>
        <w:t>ocial care</w:t>
      </w:r>
      <w:r w:rsidR="00A61E98">
        <w:rPr>
          <w:rFonts w:ascii="Century Gothic" w:hAnsi="Century Gothic"/>
          <w:sz w:val="22"/>
          <w:szCs w:val="22"/>
        </w:rPr>
        <w:t xml:space="preserve"> </w:t>
      </w:r>
      <w:r w:rsidR="003A1E00">
        <w:rPr>
          <w:rFonts w:ascii="Century Gothic" w:hAnsi="Century Gothic"/>
          <w:sz w:val="22"/>
          <w:szCs w:val="22"/>
        </w:rPr>
        <w:t xml:space="preserve">assessed birth father to be the most appropriate parent to care for the eldest child. </w:t>
      </w:r>
      <w:r w:rsidR="00AA3204" w:rsidRPr="00AA3204">
        <w:rPr>
          <w:rFonts w:ascii="Century Gothic" w:hAnsi="Century Gothic"/>
          <w:sz w:val="22"/>
          <w:szCs w:val="22"/>
        </w:rPr>
        <w:t xml:space="preserve">There is </w:t>
      </w:r>
      <w:r w:rsidR="006D599D" w:rsidRPr="00AA3204">
        <w:rPr>
          <w:rFonts w:ascii="Century Gothic" w:hAnsi="Century Gothic"/>
          <w:sz w:val="22"/>
          <w:szCs w:val="22"/>
        </w:rPr>
        <w:t xml:space="preserve">little or no challenge in those assessments on how birth father’s </w:t>
      </w:r>
      <w:r w:rsidR="005F1F79">
        <w:rPr>
          <w:rFonts w:ascii="Century Gothic" w:hAnsi="Century Gothic"/>
          <w:sz w:val="22"/>
          <w:szCs w:val="22"/>
        </w:rPr>
        <w:t xml:space="preserve">alleged </w:t>
      </w:r>
      <w:r w:rsidR="006D599D" w:rsidRPr="00AA3204">
        <w:rPr>
          <w:rFonts w:ascii="Century Gothic" w:hAnsi="Century Gothic"/>
          <w:sz w:val="22"/>
          <w:szCs w:val="22"/>
        </w:rPr>
        <w:t>domestically abusive behaviour impacted upon the children.</w:t>
      </w:r>
    </w:p>
    <w:p w14:paraId="24143640" w14:textId="02FF409A" w:rsidR="00B32A64" w:rsidRPr="00AA3204" w:rsidRDefault="006D599D" w:rsidP="00E86BB4">
      <w:pPr>
        <w:pStyle w:val="ListParagraph"/>
        <w:numPr>
          <w:ilvl w:val="1"/>
          <w:numId w:val="10"/>
        </w:numPr>
        <w:spacing w:line="276" w:lineRule="auto"/>
        <w:jc w:val="both"/>
        <w:rPr>
          <w:rFonts w:ascii="Century Gothic" w:hAnsi="Century Gothic"/>
          <w:sz w:val="22"/>
          <w:szCs w:val="22"/>
        </w:rPr>
      </w:pPr>
      <w:r w:rsidRPr="00AA3204">
        <w:rPr>
          <w:rFonts w:ascii="Century Gothic" w:hAnsi="Century Gothic"/>
          <w:sz w:val="22"/>
          <w:szCs w:val="22"/>
        </w:rPr>
        <w:t>Birth father denies the allegations made against him of domestic abuse</w:t>
      </w:r>
      <w:r w:rsidR="00F60598">
        <w:rPr>
          <w:rFonts w:ascii="Century Gothic" w:hAnsi="Century Gothic"/>
          <w:sz w:val="22"/>
          <w:szCs w:val="22"/>
        </w:rPr>
        <w:t xml:space="preserve">. </w:t>
      </w:r>
      <w:r w:rsidR="00B32A64" w:rsidRPr="00AA3204">
        <w:rPr>
          <w:rFonts w:ascii="Century Gothic" w:hAnsi="Century Gothic"/>
          <w:sz w:val="22"/>
          <w:szCs w:val="22"/>
        </w:rPr>
        <w:t xml:space="preserve">The large number of police reports and the judgements of the risk assessment checklists of birth mother are contrary to this view. </w:t>
      </w:r>
      <w:r w:rsidRPr="00AA3204">
        <w:rPr>
          <w:rFonts w:ascii="Century Gothic" w:hAnsi="Century Gothic"/>
          <w:sz w:val="22"/>
          <w:szCs w:val="22"/>
        </w:rPr>
        <w:t xml:space="preserve"> </w:t>
      </w:r>
    </w:p>
    <w:p w14:paraId="0F8093C4" w14:textId="008E70C8" w:rsidR="00826A49" w:rsidRPr="005116CB" w:rsidRDefault="00826A49" w:rsidP="00E86BB4">
      <w:pPr>
        <w:pStyle w:val="ListParagraph"/>
        <w:numPr>
          <w:ilvl w:val="1"/>
          <w:numId w:val="10"/>
        </w:numPr>
        <w:spacing w:line="276" w:lineRule="auto"/>
        <w:jc w:val="both"/>
        <w:rPr>
          <w:rFonts w:ascii="Century Gothic" w:hAnsi="Century Gothic"/>
          <w:sz w:val="22"/>
          <w:szCs w:val="22"/>
        </w:rPr>
      </w:pPr>
      <w:r w:rsidRPr="005116CB">
        <w:rPr>
          <w:rFonts w:ascii="Century Gothic" w:hAnsi="Century Gothic"/>
          <w:sz w:val="22"/>
          <w:szCs w:val="22"/>
        </w:rPr>
        <w:t xml:space="preserve">The period leading up to birth mother’s move to the </w:t>
      </w:r>
      <w:r w:rsidR="00294E3B">
        <w:rPr>
          <w:rFonts w:ascii="Century Gothic" w:hAnsi="Century Gothic"/>
          <w:sz w:val="22"/>
          <w:szCs w:val="22"/>
        </w:rPr>
        <w:t>r</w:t>
      </w:r>
      <w:r w:rsidRPr="005116CB">
        <w:rPr>
          <w:rFonts w:ascii="Century Gothic" w:hAnsi="Century Gothic"/>
          <w:sz w:val="22"/>
          <w:szCs w:val="22"/>
        </w:rPr>
        <w:t xml:space="preserve">efuge, the couple had again reconciled and </w:t>
      </w:r>
      <w:r w:rsidR="00BF598B" w:rsidRPr="005116CB">
        <w:rPr>
          <w:rFonts w:ascii="Century Gothic" w:hAnsi="Century Gothic"/>
          <w:sz w:val="22"/>
          <w:szCs w:val="22"/>
        </w:rPr>
        <w:t xml:space="preserve">were living together </w:t>
      </w:r>
      <w:r w:rsidRPr="005116CB">
        <w:rPr>
          <w:rFonts w:ascii="Century Gothic" w:hAnsi="Century Gothic"/>
          <w:sz w:val="22"/>
          <w:szCs w:val="22"/>
        </w:rPr>
        <w:t xml:space="preserve">against the advice and hidden from </w:t>
      </w:r>
      <w:r w:rsidR="0088596F" w:rsidRPr="005116CB">
        <w:rPr>
          <w:rFonts w:ascii="Century Gothic" w:hAnsi="Century Gothic"/>
          <w:sz w:val="22"/>
          <w:szCs w:val="22"/>
        </w:rPr>
        <w:t>children’s social care</w:t>
      </w:r>
      <w:r w:rsidR="00BF598B" w:rsidRPr="005116CB">
        <w:rPr>
          <w:rFonts w:ascii="Century Gothic" w:hAnsi="Century Gothic"/>
          <w:sz w:val="22"/>
          <w:szCs w:val="22"/>
        </w:rPr>
        <w:t xml:space="preserve">. </w:t>
      </w:r>
      <w:r w:rsidRPr="005116CB">
        <w:rPr>
          <w:rFonts w:ascii="Century Gothic" w:hAnsi="Century Gothic"/>
          <w:sz w:val="22"/>
          <w:szCs w:val="22"/>
        </w:rPr>
        <w:t xml:space="preserve">It was after this period that birth mother reported a further domestic abuse incident to which the eldest child was present and witnessed. Birth mother reports that her child attempted to intervene. It is not clear why </w:t>
      </w:r>
      <w:r w:rsidR="0088596F" w:rsidRPr="005116CB">
        <w:rPr>
          <w:rFonts w:ascii="Century Gothic" w:hAnsi="Century Gothic"/>
          <w:sz w:val="22"/>
          <w:szCs w:val="22"/>
        </w:rPr>
        <w:t>children’s social care</w:t>
      </w:r>
      <w:r w:rsidRPr="005116CB">
        <w:rPr>
          <w:rFonts w:ascii="Century Gothic" w:hAnsi="Century Gothic"/>
          <w:sz w:val="22"/>
          <w:szCs w:val="22"/>
        </w:rPr>
        <w:t xml:space="preserve"> did not assess the risks under Section 47 of the Children Act 1989</w:t>
      </w:r>
      <w:r w:rsidR="002A32B9">
        <w:rPr>
          <w:rStyle w:val="FootnoteReference"/>
          <w:rFonts w:ascii="Century Gothic" w:hAnsi="Century Gothic"/>
          <w:sz w:val="22"/>
          <w:szCs w:val="22"/>
        </w:rPr>
        <w:footnoteReference w:id="8"/>
      </w:r>
      <w:r w:rsidR="0087675B" w:rsidRPr="005116CB">
        <w:rPr>
          <w:rFonts w:ascii="Century Gothic" w:hAnsi="Century Gothic"/>
          <w:sz w:val="22"/>
          <w:szCs w:val="22"/>
        </w:rPr>
        <w:t>.</w:t>
      </w:r>
      <w:r w:rsidRPr="005116CB">
        <w:rPr>
          <w:rFonts w:ascii="Century Gothic" w:hAnsi="Century Gothic"/>
          <w:sz w:val="22"/>
          <w:szCs w:val="22"/>
        </w:rPr>
        <w:t xml:space="preserve"> This prompted birth mother to apply herself for </w:t>
      </w:r>
      <w:r w:rsidR="00294E3B">
        <w:rPr>
          <w:rFonts w:ascii="Century Gothic" w:hAnsi="Century Gothic"/>
          <w:sz w:val="22"/>
          <w:szCs w:val="22"/>
        </w:rPr>
        <w:t>r</w:t>
      </w:r>
      <w:r w:rsidRPr="005116CB">
        <w:rPr>
          <w:rFonts w:ascii="Century Gothic" w:hAnsi="Century Gothic"/>
          <w:sz w:val="22"/>
          <w:szCs w:val="22"/>
        </w:rPr>
        <w:t xml:space="preserve">efuge accommodation and father being arrested. The Child Arrangements Order (CAO) and Prohibited Steps Order (PSO) made in favour of birth mother was the catalyst for the family to move to the </w:t>
      </w:r>
      <w:r w:rsidR="00294E3B">
        <w:rPr>
          <w:rFonts w:ascii="Century Gothic" w:hAnsi="Century Gothic"/>
          <w:sz w:val="22"/>
          <w:szCs w:val="22"/>
        </w:rPr>
        <w:t>r</w:t>
      </w:r>
      <w:r w:rsidRPr="005116CB">
        <w:rPr>
          <w:rFonts w:ascii="Century Gothic" w:hAnsi="Century Gothic"/>
          <w:sz w:val="22"/>
          <w:szCs w:val="22"/>
        </w:rPr>
        <w:t>efuge. This was the last time that birth father saw Child T alive.</w:t>
      </w:r>
      <w:r w:rsidR="005116CB" w:rsidRPr="005116CB">
        <w:rPr>
          <w:rFonts w:ascii="Century Gothic" w:hAnsi="Century Gothic"/>
          <w:sz w:val="22"/>
          <w:szCs w:val="22"/>
        </w:rPr>
        <w:t xml:space="preserve"> </w:t>
      </w:r>
      <w:r w:rsidRPr="005116CB">
        <w:rPr>
          <w:rFonts w:ascii="Century Gothic" w:hAnsi="Century Gothic"/>
          <w:sz w:val="22"/>
          <w:szCs w:val="22"/>
        </w:rPr>
        <w:t xml:space="preserve">There was no engagement or contact from any agency with birth father post the children’s move to the </w:t>
      </w:r>
      <w:r w:rsidR="00294E3B">
        <w:rPr>
          <w:rFonts w:ascii="Century Gothic" w:hAnsi="Century Gothic"/>
          <w:sz w:val="22"/>
          <w:szCs w:val="22"/>
        </w:rPr>
        <w:t>r</w:t>
      </w:r>
      <w:r w:rsidRPr="005116CB">
        <w:rPr>
          <w:rFonts w:ascii="Century Gothic" w:hAnsi="Century Gothic"/>
          <w:sz w:val="22"/>
          <w:szCs w:val="22"/>
        </w:rPr>
        <w:t xml:space="preserve">efuge until he was informed of Child T’s death. </w:t>
      </w:r>
      <w:r w:rsidR="005D36CC">
        <w:rPr>
          <w:rFonts w:ascii="Century Gothic" w:hAnsi="Century Gothic"/>
          <w:sz w:val="22"/>
          <w:szCs w:val="22"/>
        </w:rPr>
        <w:t xml:space="preserve">Significantly, no agency or service appear to have picked up that this would have been the first time that birth mother was caring for both of her children on her own. </w:t>
      </w:r>
    </w:p>
    <w:p w14:paraId="52B1831E" w14:textId="5BB49AD4" w:rsidR="00826A49" w:rsidRPr="00F74E03" w:rsidRDefault="00826A49" w:rsidP="00826A49">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t>CAFCAS</w:t>
      </w:r>
      <w:r w:rsidR="0067230E">
        <w:rPr>
          <w:rFonts w:ascii="Century Gothic" w:hAnsi="Century Gothic"/>
          <w:sz w:val="22"/>
          <w:szCs w:val="22"/>
        </w:rPr>
        <w:t>S</w:t>
      </w:r>
      <w:r w:rsidRPr="00F74E03">
        <w:rPr>
          <w:rFonts w:ascii="Century Gothic" w:hAnsi="Century Gothic"/>
          <w:sz w:val="22"/>
          <w:szCs w:val="22"/>
        </w:rPr>
        <w:t xml:space="preserve"> were involved in the private law proceedings that saw birth father resume care of the eldest </w:t>
      </w:r>
      <w:r w:rsidR="00C0396F" w:rsidRPr="00F74E03">
        <w:rPr>
          <w:rFonts w:ascii="Century Gothic" w:hAnsi="Century Gothic"/>
          <w:sz w:val="22"/>
          <w:szCs w:val="22"/>
        </w:rPr>
        <w:t>child,</w:t>
      </w:r>
      <w:r w:rsidRPr="00F74E03">
        <w:rPr>
          <w:rFonts w:ascii="Century Gothic" w:hAnsi="Century Gothic"/>
          <w:sz w:val="22"/>
          <w:szCs w:val="22"/>
        </w:rPr>
        <w:t xml:space="preserve"> yet the report author has been unable to obtain information </w:t>
      </w:r>
      <w:r w:rsidR="000D20C6">
        <w:rPr>
          <w:rFonts w:ascii="Century Gothic" w:hAnsi="Century Gothic"/>
          <w:sz w:val="22"/>
          <w:szCs w:val="22"/>
        </w:rPr>
        <w:t xml:space="preserve">from CAFCASS as to their assessment and judgement. </w:t>
      </w:r>
      <w:r w:rsidR="004C2E40">
        <w:rPr>
          <w:rFonts w:ascii="Century Gothic" w:hAnsi="Century Gothic"/>
          <w:sz w:val="22"/>
          <w:szCs w:val="22"/>
        </w:rPr>
        <w:t>Information available indicates that l</w:t>
      </w:r>
      <w:r w:rsidRPr="00F74E03">
        <w:rPr>
          <w:rFonts w:ascii="Century Gothic" w:hAnsi="Century Gothic"/>
          <w:sz w:val="22"/>
          <w:szCs w:val="22"/>
        </w:rPr>
        <w:t xml:space="preserve">ocal authority 2 were </w:t>
      </w:r>
      <w:r w:rsidR="002F7445">
        <w:rPr>
          <w:rFonts w:ascii="Century Gothic" w:hAnsi="Century Gothic"/>
          <w:sz w:val="22"/>
          <w:szCs w:val="22"/>
        </w:rPr>
        <w:t xml:space="preserve">not </w:t>
      </w:r>
      <w:r w:rsidRPr="00F74E03">
        <w:rPr>
          <w:rFonts w:ascii="Century Gothic" w:hAnsi="Century Gothic"/>
          <w:sz w:val="22"/>
          <w:szCs w:val="22"/>
        </w:rPr>
        <w:t xml:space="preserve">asked to comment or give advice to the court when </w:t>
      </w:r>
      <w:r w:rsidR="004C2E40">
        <w:rPr>
          <w:rFonts w:ascii="Century Gothic" w:hAnsi="Century Gothic"/>
          <w:sz w:val="22"/>
          <w:szCs w:val="22"/>
        </w:rPr>
        <w:t xml:space="preserve">birth mother made her application for the </w:t>
      </w:r>
      <w:r w:rsidRPr="00F74E03">
        <w:rPr>
          <w:rFonts w:ascii="Century Gothic" w:hAnsi="Century Gothic"/>
          <w:sz w:val="22"/>
          <w:szCs w:val="22"/>
        </w:rPr>
        <w:t>CAO and PSO</w:t>
      </w:r>
      <w:r w:rsidR="000612EC">
        <w:rPr>
          <w:rFonts w:ascii="Century Gothic" w:hAnsi="Century Gothic"/>
          <w:sz w:val="22"/>
          <w:szCs w:val="22"/>
        </w:rPr>
        <w:t xml:space="preserve"> other than provide a copy of the pre-birth assessment</w:t>
      </w:r>
      <w:r w:rsidR="00855C87">
        <w:rPr>
          <w:rFonts w:ascii="Century Gothic" w:hAnsi="Century Gothic"/>
          <w:sz w:val="22"/>
          <w:szCs w:val="22"/>
        </w:rPr>
        <w:t>.</w:t>
      </w:r>
      <w:r w:rsidRPr="00F74E03">
        <w:rPr>
          <w:rFonts w:ascii="Century Gothic" w:hAnsi="Century Gothic"/>
          <w:sz w:val="22"/>
          <w:szCs w:val="22"/>
        </w:rPr>
        <w:t xml:space="preserve"> </w:t>
      </w:r>
      <w:r w:rsidR="00976450">
        <w:rPr>
          <w:rFonts w:ascii="Century Gothic" w:hAnsi="Century Gothic"/>
          <w:sz w:val="22"/>
          <w:szCs w:val="22"/>
        </w:rPr>
        <w:t>There were ongoing private law hearings</w:t>
      </w:r>
      <w:r w:rsidR="008D7CE1">
        <w:rPr>
          <w:rFonts w:ascii="Century Gothic" w:hAnsi="Century Gothic"/>
          <w:sz w:val="22"/>
          <w:szCs w:val="22"/>
        </w:rPr>
        <w:t xml:space="preserve"> about contact and </w:t>
      </w:r>
      <w:r w:rsidR="008D7CE1">
        <w:rPr>
          <w:rFonts w:ascii="Century Gothic" w:hAnsi="Century Gothic"/>
          <w:sz w:val="22"/>
          <w:szCs w:val="22"/>
        </w:rPr>
        <w:lastRenderedPageBreak/>
        <w:t>residency</w:t>
      </w:r>
      <w:r w:rsidR="00976450">
        <w:rPr>
          <w:rFonts w:ascii="Century Gothic" w:hAnsi="Century Gothic"/>
          <w:sz w:val="22"/>
          <w:szCs w:val="22"/>
        </w:rPr>
        <w:t xml:space="preserve"> </w:t>
      </w:r>
      <w:r w:rsidR="00855C87">
        <w:rPr>
          <w:rFonts w:ascii="Century Gothic" w:hAnsi="Century Gothic"/>
          <w:sz w:val="22"/>
          <w:szCs w:val="22"/>
        </w:rPr>
        <w:t xml:space="preserve">to </w:t>
      </w:r>
      <w:r w:rsidR="00976450">
        <w:rPr>
          <w:rFonts w:ascii="Century Gothic" w:hAnsi="Century Gothic"/>
          <w:sz w:val="22"/>
          <w:szCs w:val="22"/>
        </w:rPr>
        <w:t xml:space="preserve">which no local authority </w:t>
      </w:r>
      <w:r w:rsidR="008D7CE1">
        <w:rPr>
          <w:rFonts w:ascii="Century Gothic" w:hAnsi="Century Gothic"/>
          <w:sz w:val="22"/>
          <w:szCs w:val="22"/>
        </w:rPr>
        <w:t xml:space="preserve">was asked to </w:t>
      </w:r>
      <w:r w:rsidR="00976450">
        <w:rPr>
          <w:rFonts w:ascii="Century Gothic" w:hAnsi="Century Gothic"/>
          <w:sz w:val="22"/>
          <w:szCs w:val="22"/>
        </w:rPr>
        <w:t>contribute</w:t>
      </w:r>
      <w:r w:rsidR="00855C87">
        <w:rPr>
          <w:rFonts w:ascii="Century Gothic" w:hAnsi="Century Gothic"/>
          <w:sz w:val="22"/>
          <w:szCs w:val="22"/>
        </w:rPr>
        <w:t xml:space="preserve"> as far as we know</w:t>
      </w:r>
      <w:r w:rsidR="008D7CE1">
        <w:rPr>
          <w:rFonts w:ascii="Century Gothic" w:hAnsi="Century Gothic"/>
          <w:sz w:val="22"/>
          <w:szCs w:val="22"/>
        </w:rPr>
        <w:t xml:space="preserve">. </w:t>
      </w:r>
      <w:r w:rsidRPr="00F74E03">
        <w:rPr>
          <w:rFonts w:ascii="Century Gothic" w:hAnsi="Century Gothic"/>
          <w:sz w:val="22"/>
          <w:szCs w:val="22"/>
        </w:rPr>
        <w:t xml:space="preserve"> </w:t>
      </w:r>
    </w:p>
    <w:p w14:paraId="2872C9D1" w14:textId="01280BDA" w:rsidR="00817804" w:rsidRPr="004F1EE2" w:rsidRDefault="00EB0608" w:rsidP="00E86BB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Birth mother and the children </w:t>
      </w:r>
      <w:r w:rsidR="00826A49" w:rsidRPr="004F1EE2">
        <w:rPr>
          <w:rFonts w:ascii="Century Gothic" w:hAnsi="Century Gothic"/>
          <w:sz w:val="22"/>
          <w:szCs w:val="22"/>
        </w:rPr>
        <w:t xml:space="preserve">who </w:t>
      </w:r>
      <w:r>
        <w:rPr>
          <w:rFonts w:ascii="Century Gothic" w:hAnsi="Century Gothic"/>
          <w:sz w:val="22"/>
          <w:szCs w:val="22"/>
        </w:rPr>
        <w:t xml:space="preserve">were fleeing a </w:t>
      </w:r>
      <w:r w:rsidR="00826A49" w:rsidRPr="004F1EE2">
        <w:rPr>
          <w:rFonts w:ascii="Century Gothic" w:hAnsi="Century Gothic"/>
          <w:sz w:val="22"/>
          <w:szCs w:val="22"/>
        </w:rPr>
        <w:t xml:space="preserve">domestically abusive relationship and moving to </w:t>
      </w:r>
      <w:r w:rsidR="00294E3B">
        <w:rPr>
          <w:rFonts w:ascii="Century Gothic" w:hAnsi="Century Gothic"/>
          <w:sz w:val="22"/>
          <w:szCs w:val="22"/>
        </w:rPr>
        <w:t>r</w:t>
      </w:r>
      <w:r w:rsidR="00826A49" w:rsidRPr="004F1EE2">
        <w:rPr>
          <w:rFonts w:ascii="Century Gothic" w:hAnsi="Century Gothic"/>
          <w:sz w:val="22"/>
          <w:szCs w:val="22"/>
        </w:rPr>
        <w:t xml:space="preserve">efuge accommodation </w:t>
      </w:r>
      <w:r>
        <w:rPr>
          <w:rFonts w:ascii="Century Gothic" w:hAnsi="Century Gothic"/>
          <w:sz w:val="22"/>
          <w:szCs w:val="22"/>
        </w:rPr>
        <w:t xml:space="preserve">were considered to </w:t>
      </w:r>
      <w:proofErr w:type="gramStart"/>
      <w:r>
        <w:rPr>
          <w:rFonts w:ascii="Century Gothic" w:hAnsi="Century Gothic"/>
          <w:sz w:val="22"/>
          <w:szCs w:val="22"/>
        </w:rPr>
        <w:t>be</w:t>
      </w:r>
      <w:r w:rsidR="00DB3D93">
        <w:rPr>
          <w:rFonts w:ascii="Century Gothic" w:hAnsi="Century Gothic"/>
          <w:sz w:val="22"/>
          <w:szCs w:val="22"/>
        </w:rPr>
        <w:t xml:space="preserve"> </w:t>
      </w:r>
      <w:r w:rsidR="00826A49" w:rsidRPr="004F1EE2">
        <w:rPr>
          <w:rFonts w:ascii="Century Gothic" w:hAnsi="Century Gothic"/>
          <w:sz w:val="22"/>
          <w:szCs w:val="22"/>
        </w:rPr>
        <w:t xml:space="preserve"> at</w:t>
      </w:r>
      <w:proofErr w:type="gramEnd"/>
      <w:r w:rsidR="00826A49" w:rsidRPr="004F1EE2">
        <w:rPr>
          <w:rFonts w:ascii="Century Gothic" w:hAnsi="Century Gothic"/>
          <w:sz w:val="22"/>
          <w:szCs w:val="22"/>
        </w:rPr>
        <w:t xml:space="preserve"> significant risk of personal harm. However, it is difficult to reconcile that birth father was completely excluded from further assessment or involvement with the children when they moved to the </w:t>
      </w:r>
      <w:r w:rsidR="00294E3B">
        <w:rPr>
          <w:rFonts w:ascii="Century Gothic" w:hAnsi="Century Gothic"/>
          <w:sz w:val="22"/>
          <w:szCs w:val="22"/>
        </w:rPr>
        <w:t>r</w:t>
      </w:r>
      <w:r w:rsidR="00826A49" w:rsidRPr="004F1EE2">
        <w:rPr>
          <w:rFonts w:ascii="Century Gothic" w:hAnsi="Century Gothic"/>
          <w:sz w:val="22"/>
          <w:szCs w:val="22"/>
        </w:rPr>
        <w:t xml:space="preserve">efuge. </w:t>
      </w:r>
      <w:r w:rsidR="00260B29" w:rsidRPr="004F1EE2">
        <w:rPr>
          <w:rFonts w:ascii="Century Gothic" w:hAnsi="Century Gothic"/>
          <w:sz w:val="22"/>
          <w:szCs w:val="22"/>
        </w:rPr>
        <w:t>H</w:t>
      </w:r>
      <w:r w:rsidR="00826A49" w:rsidRPr="004F1EE2">
        <w:rPr>
          <w:rFonts w:ascii="Century Gothic" w:hAnsi="Century Gothic"/>
          <w:sz w:val="22"/>
          <w:szCs w:val="22"/>
        </w:rPr>
        <w:t xml:space="preserve">e was not afforded the opportunity to contribute and be considered as an important part of the children’s </w:t>
      </w:r>
      <w:r w:rsidR="00260B29" w:rsidRPr="004F1EE2">
        <w:rPr>
          <w:rFonts w:ascii="Century Gothic" w:hAnsi="Century Gothic"/>
          <w:sz w:val="22"/>
          <w:szCs w:val="22"/>
        </w:rPr>
        <w:t xml:space="preserve">lives. </w:t>
      </w:r>
      <w:r w:rsidR="00826A49" w:rsidRPr="004F1EE2">
        <w:rPr>
          <w:rFonts w:ascii="Century Gothic" w:hAnsi="Century Gothic"/>
          <w:sz w:val="22"/>
          <w:szCs w:val="22"/>
        </w:rPr>
        <w:t xml:space="preserve">The lack of contact and consideration of birth father’s role appears to be a judgement made by agencies about </w:t>
      </w:r>
      <w:r w:rsidR="005D36CC">
        <w:rPr>
          <w:rFonts w:ascii="Century Gothic" w:hAnsi="Century Gothic"/>
          <w:sz w:val="22"/>
          <w:szCs w:val="22"/>
        </w:rPr>
        <w:t xml:space="preserve">the </w:t>
      </w:r>
      <w:r w:rsidR="00826A49" w:rsidRPr="004F1EE2">
        <w:rPr>
          <w:rFonts w:ascii="Century Gothic" w:hAnsi="Century Gothic"/>
          <w:sz w:val="22"/>
          <w:szCs w:val="22"/>
        </w:rPr>
        <w:t xml:space="preserve">risk </w:t>
      </w:r>
      <w:r w:rsidR="005D36CC">
        <w:rPr>
          <w:rFonts w:ascii="Century Gothic" w:hAnsi="Century Gothic"/>
          <w:sz w:val="22"/>
          <w:szCs w:val="22"/>
        </w:rPr>
        <w:t xml:space="preserve">he posed </w:t>
      </w:r>
      <w:r w:rsidR="00826A49" w:rsidRPr="004F1EE2">
        <w:rPr>
          <w:rFonts w:ascii="Century Gothic" w:hAnsi="Century Gothic"/>
          <w:sz w:val="22"/>
          <w:szCs w:val="22"/>
        </w:rPr>
        <w:t>to his ex-partner</w:t>
      </w:r>
      <w:r w:rsidR="000D1036">
        <w:rPr>
          <w:rFonts w:ascii="Century Gothic" w:hAnsi="Century Gothic"/>
          <w:sz w:val="22"/>
          <w:szCs w:val="22"/>
        </w:rPr>
        <w:t xml:space="preserve">. This decision is based on the history of domestic abuse and the risks he has posed to birth mother and the children by his behaviour. However, this conflicts with the </w:t>
      </w:r>
      <w:r w:rsidR="002C020F">
        <w:rPr>
          <w:rFonts w:ascii="Century Gothic" w:hAnsi="Century Gothic"/>
          <w:sz w:val="22"/>
          <w:szCs w:val="22"/>
        </w:rPr>
        <w:t xml:space="preserve">previous </w:t>
      </w:r>
      <w:r w:rsidR="000D1036">
        <w:rPr>
          <w:rFonts w:ascii="Century Gothic" w:hAnsi="Century Gothic"/>
          <w:sz w:val="22"/>
          <w:szCs w:val="22"/>
        </w:rPr>
        <w:t>judgements made about his care of the eldest child in court reports and assessments. The family court has been heavily involved in making care related decisions for the children</w:t>
      </w:r>
      <w:r w:rsidR="002C020F">
        <w:rPr>
          <w:rFonts w:ascii="Century Gothic" w:hAnsi="Century Gothic"/>
          <w:sz w:val="22"/>
          <w:szCs w:val="22"/>
        </w:rPr>
        <w:t xml:space="preserve"> and the history of domestic abuse has been considered by the courts in making those decisions. The balanced decisions needed in this case is based on the principle of the child’s welfare being paramount.  It raises the challenge as to whether adults who are domestically abusive in their relationships can safely parent their children and what support and services need to be provided to make that arrangement safe. </w:t>
      </w:r>
      <w:r w:rsidR="00826A49" w:rsidRPr="004F1EE2">
        <w:rPr>
          <w:rFonts w:ascii="Century Gothic" w:hAnsi="Century Gothic"/>
          <w:sz w:val="22"/>
          <w:szCs w:val="22"/>
        </w:rPr>
        <w:t xml:space="preserve"> </w:t>
      </w:r>
      <w:r w:rsidR="00817804" w:rsidRPr="004F1EE2">
        <w:rPr>
          <w:rFonts w:ascii="Century Gothic" w:hAnsi="Century Gothic"/>
          <w:sz w:val="22"/>
          <w:szCs w:val="22"/>
        </w:rPr>
        <w:t xml:space="preserve"> </w:t>
      </w:r>
    </w:p>
    <w:p w14:paraId="572C7E43" w14:textId="77777777" w:rsidR="00CB657A" w:rsidRPr="00F74E03" w:rsidRDefault="00CB657A" w:rsidP="00CB657A">
      <w:pPr>
        <w:pStyle w:val="ListParagraph"/>
        <w:spacing w:line="276" w:lineRule="auto"/>
        <w:ind w:left="1080"/>
        <w:jc w:val="both"/>
        <w:rPr>
          <w:rFonts w:ascii="Century Gothic" w:hAnsi="Century Gothic"/>
          <w:sz w:val="22"/>
          <w:szCs w:val="22"/>
        </w:rPr>
      </w:pPr>
    </w:p>
    <w:p w14:paraId="07F26F12" w14:textId="1B9C2CCE" w:rsidR="003E1BDA" w:rsidRDefault="004838E3" w:rsidP="003E2597">
      <w:pPr>
        <w:pStyle w:val="ListParagraph"/>
        <w:numPr>
          <w:ilvl w:val="0"/>
          <w:numId w:val="10"/>
        </w:numPr>
        <w:spacing w:line="276" w:lineRule="auto"/>
        <w:jc w:val="both"/>
        <w:rPr>
          <w:rFonts w:ascii="Century Gothic" w:hAnsi="Century Gothic"/>
          <w:b/>
          <w:bCs/>
          <w:sz w:val="22"/>
          <w:szCs w:val="22"/>
        </w:rPr>
      </w:pPr>
      <w:r>
        <w:rPr>
          <w:rFonts w:ascii="Century Gothic" w:hAnsi="Century Gothic"/>
          <w:b/>
          <w:bCs/>
          <w:sz w:val="22"/>
          <w:szCs w:val="22"/>
        </w:rPr>
        <w:t>The number of moves for the children and the t</w:t>
      </w:r>
      <w:r w:rsidR="003E1BDA" w:rsidRPr="003E2597">
        <w:rPr>
          <w:rFonts w:ascii="Century Gothic" w:hAnsi="Century Gothic"/>
          <w:b/>
          <w:bCs/>
          <w:sz w:val="22"/>
          <w:szCs w:val="22"/>
        </w:rPr>
        <w:t xml:space="preserve">ransfer of </w:t>
      </w:r>
      <w:r w:rsidR="004F1EE2">
        <w:rPr>
          <w:rFonts w:ascii="Century Gothic" w:hAnsi="Century Gothic"/>
          <w:b/>
          <w:bCs/>
          <w:sz w:val="22"/>
          <w:szCs w:val="22"/>
        </w:rPr>
        <w:t xml:space="preserve">the </w:t>
      </w:r>
      <w:r w:rsidR="003E1BDA" w:rsidRPr="003E2597">
        <w:rPr>
          <w:rFonts w:ascii="Century Gothic" w:hAnsi="Century Gothic"/>
          <w:b/>
          <w:bCs/>
          <w:sz w:val="22"/>
          <w:szCs w:val="22"/>
        </w:rPr>
        <w:t>children’s cases between local authorities</w:t>
      </w:r>
      <w:r w:rsidR="001A0499" w:rsidRPr="003E2597">
        <w:rPr>
          <w:rFonts w:ascii="Century Gothic" w:hAnsi="Century Gothic"/>
          <w:b/>
          <w:bCs/>
          <w:sz w:val="22"/>
          <w:szCs w:val="22"/>
        </w:rPr>
        <w:t xml:space="preserve"> and safeguarding</w:t>
      </w:r>
      <w:r w:rsidR="003E1BDA" w:rsidRPr="003E2597">
        <w:rPr>
          <w:rFonts w:ascii="Century Gothic" w:hAnsi="Century Gothic"/>
          <w:b/>
          <w:bCs/>
          <w:sz w:val="22"/>
          <w:szCs w:val="22"/>
        </w:rPr>
        <w:t xml:space="preserve"> partner agencies</w:t>
      </w:r>
      <w:r w:rsidR="00B55600">
        <w:rPr>
          <w:rFonts w:ascii="Century Gothic" w:hAnsi="Century Gothic"/>
          <w:b/>
          <w:bCs/>
          <w:sz w:val="22"/>
          <w:szCs w:val="22"/>
        </w:rPr>
        <w:t>.</w:t>
      </w:r>
      <w:r w:rsidR="003E1BDA" w:rsidRPr="003E2597">
        <w:rPr>
          <w:rFonts w:ascii="Century Gothic" w:hAnsi="Century Gothic"/>
          <w:b/>
          <w:bCs/>
          <w:sz w:val="22"/>
          <w:szCs w:val="22"/>
        </w:rPr>
        <w:t xml:space="preserve"> </w:t>
      </w:r>
    </w:p>
    <w:p w14:paraId="516F9E7F" w14:textId="77777777" w:rsidR="00715DC0" w:rsidRPr="003E2597" w:rsidRDefault="00715DC0" w:rsidP="00715DC0">
      <w:pPr>
        <w:pStyle w:val="ListParagraph"/>
        <w:spacing w:line="276" w:lineRule="auto"/>
        <w:jc w:val="both"/>
        <w:rPr>
          <w:rFonts w:ascii="Century Gothic" w:hAnsi="Century Gothic"/>
          <w:b/>
          <w:bCs/>
          <w:sz w:val="22"/>
          <w:szCs w:val="22"/>
        </w:rPr>
      </w:pPr>
    </w:p>
    <w:p w14:paraId="339FF109" w14:textId="24C176AB" w:rsidR="00A638FA" w:rsidRDefault="00A638FA" w:rsidP="00DA0750">
      <w:pPr>
        <w:pStyle w:val="ListParagraph"/>
        <w:numPr>
          <w:ilvl w:val="1"/>
          <w:numId w:val="10"/>
        </w:numPr>
        <w:spacing w:line="276" w:lineRule="auto"/>
        <w:jc w:val="both"/>
        <w:rPr>
          <w:rFonts w:ascii="Century Gothic" w:hAnsi="Century Gothic"/>
          <w:sz w:val="22"/>
          <w:szCs w:val="22"/>
        </w:rPr>
      </w:pPr>
      <w:r w:rsidRPr="00DA0750">
        <w:rPr>
          <w:rFonts w:ascii="Century Gothic" w:hAnsi="Century Gothic"/>
          <w:sz w:val="22"/>
          <w:szCs w:val="22"/>
        </w:rPr>
        <w:t>Child T and her sister were known to 5 local authorities and associated safeguarding partners</w:t>
      </w:r>
      <w:r w:rsidR="007A6D17" w:rsidRPr="00DA0750">
        <w:rPr>
          <w:rFonts w:ascii="Century Gothic" w:hAnsi="Century Gothic"/>
          <w:sz w:val="22"/>
          <w:szCs w:val="22"/>
        </w:rPr>
        <w:t xml:space="preserve">. </w:t>
      </w:r>
      <w:r w:rsidRPr="00DA0750">
        <w:rPr>
          <w:rFonts w:ascii="Century Gothic" w:hAnsi="Century Gothic"/>
          <w:sz w:val="22"/>
          <w:szCs w:val="22"/>
        </w:rPr>
        <w:t xml:space="preserve">They were known to at least 4 voluntary sector </w:t>
      </w:r>
      <w:r w:rsidR="00274627" w:rsidRPr="00DA0750">
        <w:rPr>
          <w:rFonts w:ascii="Century Gothic" w:hAnsi="Century Gothic"/>
          <w:sz w:val="22"/>
          <w:szCs w:val="22"/>
        </w:rPr>
        <w:t>agencies.</w:t>
      </w:r>
      <w:r w:rsidRPr="00DA0750">
        <w:rPr>
          <w:rFonts w:ascii="Century Gothic" w:hAnsi="Century Gothic"/>
          <w:sz w:val="22"/>
          <w:szCs w:val="22"/>
        </w:rPr>
        <w:t xml:space="preserve"> </w:t>
      </w:r>
      <w:r w:rsidR="009E0DCF" w:rsidRPr="00DA0750">
        <w:rPr>
          <w:rFonts w:ascii="Century Gothic" w:hAnsi="Century Gothic"/>
          <w:sz w:val="22"/>
          <w:szCs w:val="22"/>
        </w:rPr>
        <w:t xml:space="preserve">The children experienced inconsistent and disruptive care and </w:t>
      </w:r>
      <w:r w:rsidR="00274627" w:rsidRPr="00DA0750">
        <w:rPr>
          <w:rFonts w:ascii="Century Gothic" w:hAnsi="Century Gothic"/>
          <w:sz w:val="22"/>
          <w:szCs w:val="22"/>
        </w:rPr>
        <w:t xml:space="preserve">the eldest child </w:t>
      </w:r>
      <w:r w:rsidR="009E0DCF" w:rsidRPr="00DA0750">
        <w:rPr>
          <w:rFonts w:ascii="Century Gothic" w:hAnsi="Century Gothic"/>
          <w:sz w:val="22"/>
          <w:szCs w:val="22"/>
        </w:rPr>
        <w:t>had moved homes on at least 6 different</w:t>
      </w:r>
      <w:r w:rsidR="007A6D17" w:rsidRPr="00DA0750">
        <w:rPr>
          <w:rFonts w:ascii="Century Gothic" w:hAnsi="Century Gothic"/>
          <w:sz w:val="22"/>
          <w:szCs w:val="22"/>
        </w:rPr>
        <w:t xml:space="preserve"> occasions</w:t>
      </w:r>
      <w:r w:rsidR="00274627" w:rsidRPr="00DA0750">
        <w:rPr>
          <w:rFonts w:ascii="Century Gothic" w:hAnsi="Century Gothic"/>
          <w:sz w:val="22"/>
          <w:szCs w:val="22"/>
        </w:rPr>
        <w:t>.</w:t>
      </w:r>
      <w:r w:rsidR="009E0DCF" w:rsidRPr="00DA0750">
        <w:rPr>
          <w:rFonts w:ascii="Century Gothic" w:hAnsi="Century Gothic"/>
          <w:sz w:val="22"/>
          <w:szCs w:val="22"/>
        </w:rPr>
        <w:t xml:space="preserve"> They did not experience stability and security and keeping track of the children’s movements between local authorities ha</w:t>
      </w:r>
      <w:r w:rsidR="007A6D17" w:rsidRPr="00DA0750">
        <w:rPr>
          <w:rFonts w:ascii="Century Gothic" w:hAnsi="Century Gothic"/>
          <w:sz w:val="22"/>
          <w:szCs w:val="22"/>
        </w:rPr>
        <w:t>d</w:t>
      </w:r>
      <w:r w:rsidR="009E0DCF" w:rsidRPr="00DA0750">
        <w:rPr>
          <w:rFonts w:ascii="Century Gothic" w:hAnsi="Century Gothic"/>
          <w:sz w:val="22"/>
          <w:szCs w:val="22"/>
        </w:rPr>
        <w:t xml:space="preserve"> been problematic. This has led to a lack of information being shared across agency boundaries and a lack of curiosity by safeguarding agencies as to the children’s </w:t>
      </w:r>
      <w:r w:rsidR="008A10C8">
        <w:rPr>
          <w:rFonts w:ascii="Century Gothic" w:hAnsi="Century Gothic"/>
          <w:sz w:val="22"/>
          <w:szCs w:val="22"/>
        </w:rPr>
        <w:t>hi</w:t>
      </w:r>
      <w:r w:rsidR="009E0DCF" w:rsidRPr="00DA0750">
        <w:rPr>
          <w:rFonts w:ascii="Century Gothic" w:hAnsi="Century Gothic"/>
          <w:sz w:val="22"/>
          <w:szCs w:val="22"/>
        </w:rPr>
        <w:t xml:space="preserve">story. </w:t>
      </w:r>
    </w:p>
    <w:p w14:paraId="166DC557" w14:textId="6D2F7AD0" w:rsidR="00E71675" w:rsidRPr="00E71675" w:rsidRDefault="00F24248" w:rsidP="00E86BB4">
      <w:pPr>
        <w:pStyle w:val="ListParagraph"/>
        <w:numPr>
          <w:ilvl w:val="1"/>
          <w:numId w:val="10"/>
        </w:numPr>
        <w:spacing w:line="276" w:lineRule="auto"/>
        <w:jc w:val="both"/>
        <w:rPr>
          <w:rFonts w:ascii="Century Gothic" w:hAnsi="Century Gothic"/>
          <w:b/>
          <w:bCs/>
          <w:sz w:val="22"/>
          <w:szCs w:val="22"/>
        </w:rPr>
      </w:pPr>
      <w:r w:rsidRPr="00E71675">
        <w:rPr>
          <w:rFonts w:ascii="Century Gothic" w:hAnsi="Century Gothic"/>
          <w:sz w:val="22"/>
          <w:szCs w:val="22"/>
        </w:rPr>
        <w:t xml:space="preserve">This review has led to one voluntary sector agency changing their procedures to reflect the learning from this situation, </w:t>
      </w:r>
      <w:r w:rsidR="005D36CC">
        <w:rPr>
          <w:rFonts w:ascii="Century Gothic" w:hAnsi="Century Gothic"/>
          <w:sz w:val="22"/>
          <w:szCs w:val="22"/>
        </w:rPr>
        <w:t xml:space="preserve">now </w:t>
      </w:r>
      <w:r w:rsidRPr="00E71675">
        <w:rPr>
          <w:rFonts w:ascii="Century Gothic" w:hAnsi="Century Gothic"/>
          <w:sz w:val="22"/>
          <w:szCs w:val="22"/>
        </w:rPr>
        <w:t xml:space="preserve">asking for information from other agencies with consent. One agency is implementing a ‘health gateway’ which will automatically notify health and others that they are working with a family.  </w:t>
      </w:r>
    </w:p>
    <w:p w14:paraId="66AD09DE" w14:textId="4F89E839" w:rsidR="001C42B0" w:rsidRPr="00E71675" w:rsidRDefault="002C26D5" w:rsidP="00E71675">
      <w:pPr>
        <w:spacing w:line="276" w:lineRule="auto"/>
        <w:jc w:val="both"/>
        <w:rPr>
          <w:rFonts w:ascii="Century Gothic" w:hAnsi="Century Gothic"/>
          <w:b/>
          <w:bCs/>
          <w:sz w:val="22"/>
          <w:szCs w:val="22"/>
        </w:rPr>
      </w:pPr>
      <w:r>
        <w:rPr>
          <w:rFonts w:ascii="Century Gothic" w:hAnsi="Century Gothic"/>
          <w:b/>
          <w:bCs/>
          <w:sz w:val="22"/>
          <w:szCs w:val="22"/>
        </w:rPr>
        <w:t xml:space="preserve">                 </w:t>
      </w:r>
      <w:r w:rsidR="0088596F" w:rsidRPr="00E71675">
        <w:rPr>
          <w:rFonts w:ascii="Century Gothic" w:hAnsi="Century Gothic"/>
          <w:b/>
          <w:bCs/>
          <w:sz w:val="22"/>
          <w:szCs w:val="22"/>
        </w:rPr>
        <w:t>Children’s social care</w:t>
      </w:r>
    </w:p>
    <w:p w14:paraId="6FD83778" w14:textId="0EFA7775" w:rsidR="000A3A5E" w:rsidRDefault="003E1BDA" w:rsidP="00DA0750">
      <w:pPr>
        <w:pStyle w:val="ListParagraph"/>
        <w:numPr>
          <w:ilvl w:val="1"/>
          <w:numId w:val="10"/>
        </w:numPr>
        <w:spacing w:line="276" w:lineRule="auto"/>
        <w:jc w:val="both"/>
        <w:rPr>
          <w:rFonts w:ascii="Century Gothic" w:hAnsi="Century Gothic"/>
          <w:sz w:val="22"/>
          <w:szCs w:val="22"/>
        </w:rPr>
      </w:pPr>
      <w:r w:rsidRPr="00DA0750">
        <w:rPr>
          <w:rFonts w:ascii="Century Gothic" w:hAnsi="Century Gothic"/>
          <w:sz w:val="22"/>
          <w:szCs w:val="22"/>
        </w:rPr>
        <w:t>There</w:t>
      </w:r>
      <w:r w:rsidR="00F010DD" w:rsidRPr="00DA0750">
        <w:rPr>
          <w:rFonts w:ascii="Century Gothic" w:hAnsi="Century Gothic"/>
          <w:sz w:val="22"/>
          <w:szCs w:val="22"/>
        </w:rPr>
        <w:t xml:space="preserve"> were</w:t>
      </w:r>
      <w:r w:rsidRPr="00DA0750">
        <w:rPr>
          <w:rFonts w:ascii="Century Gothic" w:hAnsi="Century Gothic"/>
          <w:sz w:val="22"/>
          <w:szCs w:val="22"/>
        </w:rPr>
        <w:t xml:space="preserve"> </w:t>
      </w:r>
      <w:r w:rsidR="00201326">
        <w:rPr>
          <w:rFonts w:ascii="Century Gothic" w:hAnsi="Century Gothic"/>
          <w:sz w:val="22"/>
          <w:szCs w:val="22"/>
        </w:rPr>
        <w:t xml:space="preserve">prompt and </w:t>
      </w:r>
      <w:r w:rsidRPr="00DA0750">
        <w:rPr>
          <w:rFonts w:ascii="Century Gothic" w:hAnsi="Century Gothic"/>
          <w:sz w:val="22"/>
          <w:szCs w:val="22"/>
        </w:rPr>
        <w:t>effective arrangements in place for case transfer between local authorit</w:t>
      </w:r>
      <w:r w:rsidR="009939A9" w:rsidRPr="00DA0750">
        <w:rPr>
          <w:rFonts w:ascii="Century Gothic" w:hAnsi="Century Gothic"/>
          <w:sz w:val="22"/>
          <w:szCs w:val="22"/>
        </w:rPr>
        <w:t xml:space="preserve">y </w:t>
      </w:r>
      <w:r w:rsidR="0088596F">
        <w:rPr>
          <w:rFonts w:ascii="Century Gothic" w:hAnsi="Century Gothic"/>
          <w:sz w:val="22"/>
          <w:szCs w:val="22"/>
        </w:rPr>
        <w:t>children’s social care</w:t>
      </w:r>
      <w:r w:rsidRPr="00DA0750">
        <w:rPr>
          <w:rFonts w:ascii="Century Gothic" w:hAnsi="Century Gothic"/>
          <w:sz w:val="22"/>
          <w:szCs w:val="22"/>
        </w:rPr>
        <w:t xml:space="preserve"> when the children were subject to statutory child protection planning</w:t>
      </w:r>
      <w:r w:rsidR="0036155F" w:rsidRPr="00DA0750">
        <w:rPr>
          <w:rFonts w:ascii="Century Gothic" w:hAnsi="Century Gothic"/>
          <w:sz w:val="22"/>
          <w:szCs w:val="22"/>
        </w:rPr>
        <w:t xml:space="preserve">. </w:t>
      </w:r>
      <w:r w:rsidR="009939A9" w:rsidRPr="00DA0750">
        <w:rPr>
          <w:rFonts w:ascii="Century Gothic" w:hAnsi="Century Gothic"/>
          <w:sz w:val="22"/>
          <w:szCs w:val="22"/>
        </w:rPr>
        <w:t>However, w</w:t>
      </w:r>
      <w:r w:rsidR="0036155F" w:rsidRPr="00DA0750">
        <w:rPr>
          <w:rFonts w:ascii="Century Gothic" w:hAnsi="Century Gothic"/>
          <w:sz w:val="22"/>
          <w:szCs w:val="22"/>
        </w:rPr>
        <w:t>hen the children were not</w:t>
      </w:r>
      <w:r w:rsidR="009939A9" w:rsidRPr="00DA0750">
        <w:rPr>
          <w:rFonts w:ascii="Century Gothic" w:hAnsi="Century Gothic"/>
          <w:sz w:val="22"/>
          <w:szCs w:val="22"/>
        </w:rPr>
        <w:t xml:space="preserve"> subject to statutory processes</w:t>
      </w:r>
      <w:r w:rsidR="00274627" w:rsidRPr="00DA0750">
        <w:rPr>
          <w:rFonts w:ascii="Century Gothic" w:hAnsi="Century Gothic"/>
          <w:sz w:val="22"/>
          <w:szCs w:val="22"/>
        </w:rPr>
        <w:t xml:space="preserve"> and the case closed</w:t>
      </w:r>
      <w:r w:rsidR="0036155F" w:rsidRPr="00DA0750">
        <w:rPr>
          <w:rFonts w:ascii="Century Gothic" w:hAnsi="Century Gothic"/>
          <w:sz w:val="22"/>
          <w:szCs w:val="22"/>
        </w:rPr>
        <w:t>,</w:t>
      </w:r>
      <w:r w:rsidRPr="00DA0750">
        <w:rPr>
          <w:rFonts w:ascii="Century Gothic" w:hAnsi="Century Gothic"/>
          <w:sz w:val="22"/>
          <w:szCs w:val="22"/>
        </w:rPr>
        <w:t xml:space="preserve"> there was no </w:t>
      </w:r>
      <w:r w:rsidR="009939A9" w:rsidRPr="00DA0750">
        <w:rPr>
          <w:rFonts w:ascii="Century Gothic" w:hAnsi="Century Gothic"/>
          <w:sz w:val="22"/>
          <w:szCs w:val="22"/>
        </w:rPr>
        <w:t xml:space="preserve">effective </w:t>
      </w:r>
      <w:r w:rsidRPr="00DA0750">
        <w:rPr>
          <w:rFonts w:ascii="Century Gothic" w:hAnsi="Century Gothic"/>
          <w:sz w:val="22"/>
          <w:szCs w:val="22"/>
        </w:rPr>
        <w:t>transfer</w:t>
      </w:r>
      <w:r w:rsidR="009939A9" w:rsidRPr="00DA0750">
        <w:rPr>
          <w:rFonts w:ascii="Century Gothic" w:hAnsi="Century Gothic"/>
          <w:sz w:val="22"/>
          <w:szCs w:val="22"/>
        </w:rPr>
        <w:t xml:space="preserve"> of the case</w:t>
      </w:r>
      <w:r w:rsidR="00274627" w:rsidRPr="00DA0750">
        <w:rPr>
          <w:rFonts w:ascii="Century Gothic" w:hAnsi="Century Gothic"/>
          <w:sz w:val="22"/>
          <w:szCs w:val="22"/>
        </w:rPr>
        <w:t xml:space="preserve"> </w:t>
      </w:r>
      <w:r w:rsidR="007A6D17" w:rsidRPr="00DA0750">
        <w:rPr>
          <w:rFonts w:ascii="Century Gothic" w:hAnsi="Century Gothic"/>
          <w:sz w:val="22"/>
          <w:szCs w:val="22"/>
        </w:rPr>
        <w:t>information</w:t>
      </w:r>
      <w:r w:rsidR="00116710">
        <w:rPr>
          <w:rFonts w:ascii="Century Gothic" w:hAnsi="Century Gothic"/>
          <w:sz w:val="22"/>
          <w:szCs w:val="22"/>
        </w:rPr>
        <w:t>.</w:t>
      </w:r>
      <w:r w:rsidR="009939A9" w:rsidRPr="00DA0750">
        <w:rPr>
          <w:rFonts w:ascii="Century Gothic" w:hAnsi="Century Gothic"/>
          <w:sz w:val="22"/>
          <w:szCs w:val="22"/>
        </w:rPr>
        <w:t xml:space="preserve"> The birth mother self-reported </w:t>
      </w:r>
      <w:r w:rsidR="009939A9" w:rsidRPr="00DA0750">
        <w:rPr>
          <w:rFonts w:ascii="Century Gothic" w:hAnsi="Century Gothic"/>
          <w:sz w:val="22"/>
          <w:szCs w:val="22"/>
        </w:rPr>
        <w:lastRenderedPageBreak/>
        <w:t xml:space="preserve">that she was involved with </w:t>
      </w:r>
      <w:r w:rsidR="0088596F">
        <w:rPr>
          <w:rFonts w:ascii="Century Gothic" w:hAnsi="Century Gothic"/>
          <w:sz w:val="22"/>
          <w:szCs w:val="22"/>
        </w:rPr>
        <w:t>children’s social care</w:t>
      </w:r>
      <w:r w:rsidR="009939A9" w:rsidRPr="00DA0750">
        <w:rPr>
          <w:rFonts w:ascii="Century Gothic" w:hAnsi="Century Gothic"/>
          <w:sz w:val="22"/>
          <w:szCs w:val="22"/>
        </w:rPr>
        <w:t>, which prompt</w:t>
      </w:r>
      <w:r w:rsidR="00181D8D">
        <w:rPr>
          <w:rFonts w:ascii="Century Gothic" w:hAnsi="Century Gothic"/>
          <w:sz w:val="22"/>
          <w:szCs w:val="22"/>
        </w:rPr>
        <w:t>ed</w:t>
      </w:r>
      <w:r w:rsidR="009939A9" w:rsidRPr="00DA0750">
        <w:rPr>
          <w:rFonts w:ascii="Century Gothic" w:hAnsi="Century Gothic"/>
          <w:sz w:val="22"/>
          <w:szCs w:val="22"/>
        </w:rPr>
        <w:t xml:space="preserve"> the </w:t>
      </w:r>
      <w:r w:rsidR="00294E3B">
        <w:rPr>
          <w:rFonts w:ascii="Century Gothic" w:hAnsi="Century Gothic"/>
          <w:sz w:val="22"/>
          <w:szCs w:val="22"/>
        </w:rPr>
        <w:t>r</w:t>
      </w:r>
      <w:r w:rsidR="008F1414" w:rsidRPr="00DA0750">
        <w:rPr>
          <w:rFonts w:ascii="Century Gothic" w:hAnsi="Century Gothic"/>
          <w:sz w:val="22"/>
          <w:szCs w:val="22"/>
        </w:rPr>
        <w:t>efuge</w:t>
      </w:r>
      <w:r w:rsidR="009939A9" w:rsidRPr="00DA0750">
        <w:rPr>
          <w:rFonts w:ascii="Century Gothic" w:hAnsi="Century Gothic"/>
          <w:sz w:val="22"/>
          <w:szCs w:val="22"/>
        </w:rPr>
        <w:t xml:space="preserve"> to seek further information.</w:t>
      </w:r>
    </w:p>
    <w:p w14:paraId="09502C8A" w14:textId="77777777" w:rsidR="00EC7CD8" w:rsidRPr="00DE1623" w:rsidRDefault="00EC7CD8" w:rsidP="00EC7CD8">
      <w:pPr>
        <w:pStyle w:val="ListParagraph"/>
        <w:numPr>
          <w:ilvl w:val="1"/>
          <w:numId w:val="10"/>
        </w:numPr>
        <w:spacing w:line="276" w:lineRule="auto"/>
        <w:jc w:val="both"/>
        <w:rPr>
          <w:rFonts w:ascii="Century Gothic" w:hAnsi="Century Gothic"/>
          <w:sz w:val="22"/>
          <w:szCs w:val="22"/>
        </w:rPr>
      </w:pPr>
      <w:r w:rsidRPr="00D14521">
        <w:rPr>
          <w:rFonts w:ascii="Century Gothic" w:hAnsi="Century Gothic"/>
          <w:sz w:val="22"/>
          <w:szCs w:val="22"/>
        </w:rPr>
        <w:t xml:space="preserve">There is limited evidence that birth mother participated in offers of support for herself and the children. </w:t>
      </w:r>
      <w:r>
        <w:rPr>
          <w:rFonts w:ascii="Century Gothic" w:hAnsi="Century Gothic"/>
          <w:sz w:val="22"/>
          <w:szCs w:val="22"/>
        </w:rPr>
        <w:t xml:space="preserve">There was outstanding work in the child protection and child in need plans. The closure of the children’s cases was based on alternative care arrangements of the children rather than addressing the underlying parenting issues. </w:t>
      </w:r>
      <w:r w:rsidRPr="00DE1623">
        <w:rPr>
          <w:rFonts w:ascii="Century Gothic" w:hAnsi="Century Gothic"/>
          <w:sz w:val="22"/>
          <w:szCs w:val="22"/>
        </w:rPr>
        <w:t xml:space="preserve">The decision to close the children’s case </w:t>
      </w:r>
      <w:r>
        <w:rPr>
          <w:rFonts w:ascii="Century Gothic" w:hAnsi="Century Gothic"/>
          <w:sz w:val="22"/>
          <w:szCs w:val="22"/>
        </w:rPr>
        <w:t>in local authority 2 was just two</w:t>
      </w:r>
      <w:r w:rsidRPr="00DE1623">
        <w:rPr>
          <w:rFonts w:ascii="Century Gothic" w:hAnsi="Century Gothic"/>
          <w:sz w:val="22"/>
          <w:szCs w:val="22"/>
        </w:rPr>
        <w:t xml:space="preserve"> months after Child T was born. </w:t>
      </w:r>
      <w:r>
        <w:rPr>
          <w:rFonts w:ascii="Century Gothic" w:hAnsi="Century Gothic"/>
          <w:sz w:val="22"/>
          <w:szCs w:val="22"/>
        </w:rPr>
        <w:t>Local authority 2 accept their practice was ‘below expected standards.’</w:t>
      </w:r>
      <w:r w:rsidRPr="00DE1623">
        <w:rPr>
          <w:rFonts w:ascii="Century Gothic" w:hAnsi="Century Gothic"/>
          <w:sz w:val="22"/>
          <w:szCs w:val="22"/>
        </w:rPr>
        <w:t xml:space="preserve"> </w:t>
      </w:r>
    </w:p>
    <w:p w14:paraId="3FABBFF7" w14:textId="63C962DA" w:rsidR="00EC7CD8" w:rsidRPr="006D599D" w:rsidRDefault="00EC7CD8" w:rsidP="00EC7CD8">
      <w:pPr>
        <w:pStyle w:val="ListParagraph"/>
        <w:numPr>
          <w:ilvl w:val="1"/>
          <w:numId w:val="10"/>
        </w:numPr>
        <w:spacing w:line="276" w:lineRule="auto"/>
        <w:jc w:val="both"/>
        <w:rPr>
          <w:rFonts w:ascii="Century Gothic" w:hAnsi="Century Gothic"/>
          <w:sz w:val="22"/>
          <w:szCs w:val="22"/>
        </w:rPr>
      </w:pPr>
      <w:r w:rsidRPr="00DE1623">
        <w:rPr>
          <w:rFonts w:ascii="Century Gothic" w:hAnsi="Century Gothic"/>
          <w:sz w:val="22"/>
          <w:szCs w:val="22"/>
        </w:rPr>
        <w:t xml:space="preserve">The outline plan highlighted the need for birth mother to address her cannabis use, direct work with the social worker to explore her experience of being parented and birth mother attending health appointments. The closure record indicated birth mother engaged with health services only. </w:t>
      </w:r>
      <w:r>
        <w:rPr>
          <w:rFonts w:ascii="Century Gothic" w:hAnsi="Century Gothic"/>
          <w:sz w:val="22"/>
          <w:szCs w:val="22"/>
        </w:rPr>
        <w:t xml:space="preserve">It is questionable that a lack of cooperation should be a benchmark or threshold for case closure without a clear understanding of the impact of that lack of cooperation on the child and whether this decision is based on current assessment or the chronology of non-engagement. Whether there was a changed perception of the risk to the children is unclear and whilst positive co-operation is observed in assessments, this should be seen in the context of the history of non-engagement. Resources and caseloads may be a significant factor in decision making and this is a wider practice theme that needs further consideration. </w:t>
      </w:r>
    </w:p>
    <w:p w14:paraId="63586F1A" w14:textId="6A46AC43" w:rsidR="0037142E" w:rsidRDefault="00881733" w:rsidP="002B42D5">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 children’s case appears to have been opened again on the back of th</w:t>
      </w:r>
      <w:r w:rsidR="004C7315">
        <w:rPr>
          <w:rFonts w:ascii="Century Gothic" w:hAnsi="Century Gothic"/>
          <w:sz w:val="22"/>
          <w:szCs w:val="22"/>
        </w:rPr>
        <w:t>e referral from police in October 2019</w:t>
      </w:r>
      <w:r>
        <w:rPr>
          <w:rFonts w:ascii="Century Gothic" w:hAnsi="Century Gothic"/>
          <w:sz w:val="22"/>
          <w:szCs w:val="22"/>
        </w:rPr>
        <w:t xml:space="preserve">. </w:t>
      </w:r>
      <w:r w:rsidR="001C6060">
        <w:rPr>
          <w:rFonts w:ascii="Century Gothic" w:hAnsi="Century Gothic"/>
          <w:sz w:val="22"/>
          <w:szCs w:val="22"/>
        </w:rPr>
        <w:t xml:space="preserve">The judgement made by local authority 2 to visit birth mother following the referral and then to fund transport for the move to the </w:t>
      </w:r>
      <w:r w:rsidR="00294E3B">
        <w:rPr>
          <w:rFonts w:ascii="Century Gothic" w:hAnsi="Century Gothic"/>
          <w:sz w:val="22"/>
          <w:szCs w:val="22"/>
        </w:rPr>
        <w:t>r</w:t>
      </w:r>
      <w:r w:rsidR="001C6060">
        <w:rPr>
          <w:rFonts w:ascii="Century Gothic" w:hAnsi="Century Gothic"/>
          <w:sz w:val="22"/>
          <w:szCs w:val="22"/>
        </w:rPr>
        <w:t xml:space="preserve">efuge without assessing the children and informing local authority 3 is poor practice. The reasoning for this is unclear but the information available points to </w:t>
      </w:r>
      <w:r w:rsidR="006F5FE5">
        <w:rPr>
          <w:rFonts w:ascii="Century Gothic" w:hAnsi="Century Gothic"/>
          <w:sz w:val="22"/>
          <w:szCs w:val="22"/>
        </w:rPr>
        <w:t xml:space="preserve">the </w:t>
      </w:r>
      <w:r w:rsidR="001C6060">
        <w:rPr>
          <w:rFonts w:ascii="Century Gothic" w:hAnsi="Century Gothic"/>
          <w:sz w:val="22"/>
          <w:szCs w:val="22"/>
        </w:rPr>
        <w:t xml:space="preserve">swift exit of the family </w:t>
      </w:r>
      <w:r w:rsidR="0037142E">
        <w:rPr>
          <w:rFonts w:ascii="Century Gothic" w:hAnsi="Century Gothic"/>
          <w:sz w:val="22"/>
          <w:szCs w:val="22"/>
        </w:rPr>
        <w:t xml:space="preserve">to another local authority </w:t>
      </w:r>
      <w:r w:rsidR="001C6060">
        <w:rPr>
          <w:rFonts w:ascii="Century Gothic" w:hAnsi="Century Gothic"/>
          <w:sz w:val="22"/>
          <w:szCs w:val="22"/>
        </w:rPr>
        <w:t>without taking case responsibility</w:t>
      </w:r>
      <w:r w:rsidR="00534001">
        <w:rPr>
          <w:rFonts w:ascii="Century Gothic" w:hAnsi="Century Gothic"/>
          <w:sz w:val="22"/>
          <w:szCs w:val="22"/>
        </w:rPr>
        <w:t xml:space="preserve"> or accountability for effective transfer of information</w:t>
      </w:r>
      <w:r w:rsidR="001C6060">
        <w:rPr>
          <w:rFonts w:ascii="Century Gothic" w:hAnsi="Century Gothic"/>
          <w:sz w:val="22"/>
          <w:szCs w:val="22"/>
        </w:rPr>
        <w:t>.</w:t>
      </w:r>
      <w:r w:rsidR="00737C24">
        <w:rPr>
          <w:rFonts w:ascii="Century Gothic" w:hAnsi="Century Gothic"/>
          <w:sz w:val="22"/>
          <w:szCs w:val="22"/>
        </w:rPr>
        <w:t xml:space="preserve"> </w:t>
      </w:r>
    </w:p>
    <w:p w14:paraId="77EDA92E" w14:textId="4FFC9999" w:rsidR="00B12A56" w:rsidRDefault="001C6060" w:rsidP="002B42D5">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It highlights </w:t>
      </w:r>
      <w:r w:rsidR="00FE29FF">
        <w:rPr>
          <w:rFonts w:ascii="Century Gothic" w:hAnsi="Century Gothic"/>
          <w:sz w:val="22"/>
          <w:szCs w:val="22"/>
        </w:rPr>
        <w:t>a</w:t>
      </w:r>
      <w:r>
        <w:rPr>
          <w:rFonts w:ascii="Century Gothic" w:hAnsi="Century Gothic"/>
          <w:sz w:val="22"/>
          <w:szCs w:val="22"/>
        </w:rPr>
        <w:t xml:space="preserve"> dilemma as to who has case responsibility in children’s social care when families move to </w:t>
      </w:r>
      <w:r w:rsidR="00294E3B">
        <w:rPr>
          <w:rFonts w:ascii="Century Gothic" w:hAnsi="Century Gothic"/>
          <w:sz w:val="22"/>
          <w:szCs w:val="22"/>
        </w:rPr>
        <w:t>r</w:t>
      </w:r>
      <w:r>
        <w:rPr>
          <w:rFonts w:ascii="Century Gothic" w:hAnsi="Century Gothic"/>
          <w:sz w:val="22"/>
          <w:szCs w:val="22"/>
        </w:rPr>
        <w:t xml:space="preserve">efuge </w:t>
      </w:r>
      <w:r w:rsidR="00534001">
        <w:rPr>
          <w:rFonts w:ascii="Century Gothic" w:hAnsi="Century Gothic"/>
          <w:sz w:val="22"/>
          <w:szCs w:val="22"/>
        </w:rPr>
        <w:t xml:space="preserve">accommodation </w:t>
      </w:r>
      <w:r>
        <w:rPr>
          <w:rFonts w:ascii="Century Gothic" w:hAnsi="Century Gothic"/>
          <w:sz w:val="22"/>
          <w:szCs w:val="22"/>
        </w:rPr>
        <w:t xml:space="preserve">on a temporary basis and whether they are habitually resident in the originating authority. This is not resolved in the records with confusion about who was assessing the family. </w:t>
      </w:r>
      <w:r w:rsidR="000029F0">
        <w:rPr>
          <w:rFonts w:ascii="Century Gothic" w:hAnsi="Century Gothic"/>
          <w:sz w:val="22"/>
          <w:szCs w:val="22"/>
        </w:rPr>
        <w:t xml:space="preserve">Transient families in the </w:t>
      </w:r>
      <w:r w:rsidR="004A588E">
        <w:rPr>
          <w:rFonts w:ascii="Century Gothic" w:hAnsi="Century Gothic"/>
          <w:sz w:val="22"/>
          <w:szCs w:val="22"/>
        </w:rPr>
        <w:t xml:space="preserve">safeguarding </w:t>
      </w:r>
      <w:r w:rsidR="000029F0">
        <w:rPr>
          <w:rFonts w:ascii="Century Gothic" w:hAnsi="Century Gothic"/>
          <w:sz w:val="22"/>
          <w:szCs w:val="22"/>
        </w:rPr>
        <w:t xml:space="preserve">system need one local authority to </w:t>
      </w:r>
      <w:r w:rsidR="004A588E">
        <w:rPr>
          <w:rFonts w:ascii="Century Gothic" w:hAnsi="Century Gothic"/>
          <w:sz w:val="22"/>
          <w:szCs w:val="22"/>
        </w:rPr>
        <w:t>‘own’ the children and not revert to qu</w:t>
      </w:r>
      <w:r w:rsidR="00C92B93">
        <w:rPr>
          <w:rFonts w:ascii="Century Gothic" w:hAnsi="Century Gothic"/>
          <w:sz w:val="22"/>
          <w:szCs w:val="22"/>
        </w:rPr>
        <w:t>ickly closing cases when they move authority.</w:t>
      </w:r>
      <w:r w:rsidR="00C327E9">
        <w:rPr>
          <w:rFonts w:ascii="Century Gothic" w:hAnsi="Century Gothic"/>
          <w:sz w:val="22"/>
          <w:szCs w:val="22"/>
        </w:rPr>
        <w:t xml:space="preserve"> How</w:t>
      </w:r>
      <w:r w:rsidR="00725981">
        <w:rPr>
          <w:rFonts w:ascii="Century Gothic" w:hAnsi="Century Gothic"/>
          <w:sz w:val="22"/>
          <w:szCs w:val="22"/>
        </w:rPr>
        <w:t xml:space="preserve">ever, it is accepted that this is decision based on capacity and </w:t>
      </w:r>
      <w:r w:rsidR="00B12A56">
        <w:rPr>
          <w:rFonts w:ascii="Century Gothic" w:hAnsi="Century Gothic"/>
          <w:sz w:val="22"/>
          <w:szCs w:val="22"/>
        </w:rPr>
        <w:t>threshold.</w:t>
      </w:r>
    </w:p>
    <w:p w14:paraId="0FAE812A" w14:textId="77777777" w:rsidR="00FE29FF" w:rsidRDefault="00FE29FF" w:rsidP="00FE29FF">
      <w:pPr>
        <w:pStyle w:val="ListParagraph"/>
        <w:numPr>
          <w:ilvl w:val="1"/>
          <w:numId w:val="10"/>
        </w:numPr>
        <w:spacing w:line="276" w:lineRule="auto"/>
        <w:jc w:val="both"/>
        <w:rPr>
          <w:rFonts w:ascii="Century Gothic" w:hAnsi="Century Gothic"/>
          <w:sz w:val="22"/>
          <w:szCs w:val="22"/>
        </w:rPr>
      </w:pPr>
      <w:r w:rsidRPr="00FE29FF">
        <w:rPr>
          <w:rFonts w:ascii="Century Gothic" w:hAnsi="Century Gothic"/>
          <w:sz w:val="22"/>
          <w:szCs w:val="22"/>
        </w:rPr>
        <w:t>With the belief that c</w:t>
      </w:r>
      <w:r w:rsidR="0088596F" w:rsidRPr="00FE29FF">
        <w:rPr>
          <w:rFonts w:ascii="Century Gothic" w:hAnsi="Century Gothic"/>
          <w:sz w:val="22"/>
          <w:szCs w:val="22"/>
        </w:rPr>
        <w:t>hildren’s social care</w:t>
      </w:r>
      <w:r w:rsidR="00FE1E0A" w:rsidRPr="00FE29FF">
        <w:rPr>
          <w:rFonts w:ascii="Century Gothic" w:hAnsi="Century Gothic"/>
          <w:sz w:val="22"/>
          <w:szCs w:val="22"/>
        </w:rPr>
        <w:t xml:space="preserve"> in local authority </w:t>
      </w:r>
      <w:r w:rsidRPr="00FE29FF">
        <w:rPr>
          <w:rFonts w:ascii="Century Gothic" w:hAnsi="Century Gothic"/>
          <w:sz w:val="22"/>
          <w:szCs w:val="22"/>
        </w:rPr>
        <w:t>2 were undertaking an assessment, local authority 3</w:t>
      </w:r>
      <w:r w:rsidR="00FE1E0A" w:rsidRPr="00FE29FF">
        <w:rPr>
          <w:rFonts w:ascii="Century Gothic" w:hAnsi="Century Gothic"/>
          <w:sz w:val="22"/>
          <w:szCs w:val="22"/>
        </w:rPr>
        <w:t xml:space="preserve"> did not undertake any statutory assessment of the children</w:t>
      </w:r>
      <w:r w:rsidRPr="00FE29FF">
        <w:rPr>
          <w:rFonts w:ascii="Century Gothic" w:hAnsi="Century Gothic"/>
          <w:sz w:val="22"/>
          <w:szCs w:val="22"/>
        </w:rPr>
        <w:t xml:space="preserve">. </w:t>
      </w:r>
      <w:r w:rsidR="00FE1E0A" w:rsidRPr="00FE29FF">
        <w:rPr>
          <w:rFonts w:ascii="Century Gothic" w:hAnsi="Century Gothic"/>
          <w:sz w:val="22"/>
          <w:szCs w:val="22"/>
        </w:rPr>
        <w:t xml:space="preserve"> </w:t>
      </w:r>
      <w:r w:rsidR="00C6494F" w:rsidRPr="00FE29FF">
        <w:rPr>
          <w:rFonts w:ascii="Century Gothic" w:hAnsi="Century Gothic"/>
          <w:sz w:val="22"/>
          <w:szCs w:val="22"/>
        </w:rPr>
        <w:t>Despite requests from l</w:t>
      </w:r>
      <w:r w:rsidR="002D2A75" w:rsidRPr="00FE29FF">
        <w:rPr>
          <w:rFonts w:ascii="Century Gothic" w:hAnsi="Century Gothic"/>
          <w:sz w:val="22"/>
          <w:szCs w:val="22"/>
        </w:rPr>
        <w:t>ocal authority 3</w:t>
      </w:r>
      <w:r w:rsidR="00C6494F" w:rsidRPr="00FE29FF">
        <w:rPr>
          <w:rFonts w:ascii="Century Gothic" w:hAnsi="Century Gothic"/>
          <w:sz w:val="22"/>
          <w:szCs w:val="22"/>
        </w:rPr>
        <w:t>, no information was provided by</w:t>
      </w:r>
      <w:r w:rsidR="002D2A75" w:rsidRPr="00FE29FF">
        <w:rPr>
          <w:rFonts w:ascii="Century Gothic" w:hAnsi="Century Gothic"/>
          <w:sz w:val="22"/>
          <w:szCs w:val="22"/>
        </w:rPr>
        <w:t xml:space="preserve"> local authority 2</w:t>
      </w:r>
      <w:r w:rsidR="00C6494F" w:rsidRPr="00FE29FF">
        <w:rPr>
          <w:rFonts w:ascii="Century Gothic" w:hAnsi="Century Gothic"/>
          <w:sz w:val="22"/>
          <w:szCs w:val="22"/>
        </w:rPr>
        <w:t xml:space="preserve">. </w:t>
      </w:r>
      <w:r w:rsidR="002D2A75" w:rsidRPr="00FE29FF">
        <w:rPr>
          <w:rFonts w:ascii="Century Gothic" w:hAnsi="Century Gothic"/>
          <w:sz w:val="22"/>
          <w:szCs w:val="22"/>
        </w:rPr>
        <w:t xml:space="preserve"> </w:t>
      </w:r>
      <w:r w:rsidRPr="00FE29FF">
        <w:rPr>
          <w:rFonts w:ascii="Century Gothic" w:hAnsi="Century Gothic"/>
          <w:sz w:val="22"/>
          <w:szCs w:val="22"/>
        </w:rPr>
        <w:t>E</w:t>
      </w:r>
      <w:r w:rsidR="0018263C" w:rsidRPr="00FE29FF">
        <w:rPr>
          <w:rFonts w:ascii="Century Gothic" w:hAnsi="Century Gothic"/>
          <w:sz w:val="22"/>
          <w:szCs w:val="22"/>
        </w:rPr>
        <w:t xml:space="preserve">scalation routes for professional disagreement only </w:t>
      </w:r>
      <w:r w:rsidRPr="00FE29FF">
        <w:rPr>
          <w:rFonts w:ascii="Century Gothic" w:hAnsi="Century Gothic"/>
          <w:sz w:val="22"/>
          <w:szCs w:val="22"/>
        </w:rPr>
        <w:t xml:space="preserve">appear to </w:t>
      </w:r>
      <w:r w:rsidR="0018263C" w:rsidRPr="00FE29FF">
        <w:rPr>
          <w:rFonts w:ascii="Century Gothic" w:hAnsi="Century Gothic"/>
          <w:sz w:val="22"/>
          <w:szCs w:val="22"/>
        </w:rPr>
        <w:t xml:space="preserve">refer to those agencies within a local authority boundary and not </w:t>
      </w:r>
      <w:r w:rsidR="00C9514F" w:rsidRPr="00FE29FF">
        <w:rPr>
          <w:rFonts w:ascii="Century Gothic" w:hAnsi="Century Gothic"/>
          <w:sz w:val="22"/>
          <w:szCs w:val="22"/>
        </w:rPr>
        <w:t xml:space="preserve">between local authorities. It may be </w:t>
      </w:r>
      <w:r w:rsidR="00C9514F" w:rsidRPr="00FE29FF">
        <w:rPr>
          <w:rFonts w:ascii="Century Gothic" w:hAnsi="Century Gothic"/>
          <w:sz w:val="22"/>
          <w:szCs w:val="22"/>
        </w:rPr>
        <w:lastRenderedPageBreak/>
        <w:t xml:space="preserve">sensible for local authorities to expand this </w:t>
      </w:r>
      <w:r w:rsidR="0026459A" w:rsidRPr="00FE29FF">
        <w:rPr>
          <w:rFonts w:ascii="Century Gothic" w:hAnsi="Century Gothic"/>
          <w:sz w:val="22"/>
          <w:szCs w:val="22"/>
        </w:rPr>
        <w:t xml:space="preserve">protocol to other local </w:t>
      </w:r>
      <w:r w:rsidR="00F95D4A" w:rsidRPr="00FE29FF">
        <w:rPr>
          <w:rFonts w:ascii="Century Gothic" w:hAnsi="Century Gothic"/>
          <w:sz w:val="22"/>
          <w:szCs w:val="22"/>
        </w:rPr>
        <w:t>authorities</w:t>
      </w:r>
      <w:r w:rsidR="00461333" w:rsidRPr="00FE29FF">
        <w:rPr>
          <w:rFonts w:ascii="Century Gothic" w:hAnsi="Century Gothic"/>
          <w:sz w:val="22"/>
          <w:szCs w:val="22"/>
        </w:rPr>
        <w:t xml:space="preserve"> to ensure disagreements or issues can be resolved </w:t>
      </w:r>
      <w:r w:rsidRPr="00FE29FF">
        <w:rPr>
          <w:rFonts w:ascii="Century Gothic" w:hAnsi="Century Gothic"/>
          <w:sz w:val="22"/>
          <w:szCs w:val="22"/>
        </w:rPr>
        <w:t xml:space="preserve">more </w:t>
      </w:r>
      <w:r w:rsidR="00461333" w:rsidRPr="00FE29FF">
        <w:rPr>
          <w:rFonts w:ascii="Century Gothic" w:hAnsi="Century Gothic"/>
          <w:sz w:val="22"/>
          <w:szCs w:val="22"/>
        </w:rPr>
        <w:t>formally. In this case, the failure of local authority 2 to provide detailed information about the children’s known history</w:t>
      </w:r>
      <w:r w:rsidR="00E357C2" w:rsidRPr="00FE29FF">
        <w:rPr>
          <w:rFonts w:ascii="Century Gothic" w:hAnsi="Century Gothic"/>
          <w:sz w:val="22"/>
          <w:szCs w:val="22"/>
        </w:rPr>
        <w:t xml:space="preserve"> led to </w:t>
      </w:r>
      <w:r w:rsidR="003B0B51" w:rsidRPr="00FE29FF">
        <w:rPr>
          <w:rFonts w:ascii="Century Gothic" w:hAnsi="Century Gothic"/>
          <w:sz w:val="22"/>
          <w:szCs w:val="22"/>
        </w:rPr>
        <w:t>risks for the children remaining unassessed</w:t>
      </w:r>
      <w:r w:rsidR="002B42D5" w:rsidRPr="00FE29FF">
        <w:rPr>
          <w:rFonts w:ascii="Century Gothic" w:hAnsi="Century Gothic"/>
          <w:sz w:val="22"/>
          <w:szCs w:val="22"/>
        </w:rPr>
        <w:t xml:space="preserve">. </w:t>
      </w:r>
    </w:p>
    <w:p w14:paraId="536D3062" w14:textId="4551C27D" w:rsidR="00A60F59" w:rsidRPr="00A60F59" w:rsidRDefault="00FE29FF" w:rsidP="00E86BB4">
      <w:pPr>
        <w:pStyle w:val="ListParagraph"/>
        <w:numPr>
          <w:ilvl w:val="1"/>
          <w:numId w:val="10"/>
        </w:numPr>
        <w:spacing w:line="276" w:lineRule="auto"/>
        <w:jc w:val="both"/>
        <w:rPr>
          <w:rFonts w:ascii="Century Gothic" w:hAnsi="Century Gothic"/>
          <w:b/>
          <w:bCs/>
          <w:sz w:val="22"/>
          <w:szCs w:val="22"/>
        </w:rPr>
      </w:pPr>
      <w:r w:rsidRPr="00A60F59">
        <w:rPr>
          <w:rFonts w:ascii="Century Gothic" w:hAnsi="Century Gothic"/>
          <w:sz w:val="22"/>
          <w:szCs w:val="22"/>
        </w:rPr>
        <w:t xml:space="preserve">Consent based practice, where adults agree for information to be shared as part of a referral, does have the best outcomes for children. </w:t>
      </w:r>
      <w:r w:rsidR="00A60F59" w:rsidRPr="00A60F59">
        <w:rPr>
          <w:rFonts w:ascii="Century Gothic" w:hAnsi="Century Gothic"/>
          <w:sz w:val="22"/>
          <w:szCs w:val="22"/>
        </w:rPr>
        <w:t>However, it does place a barrier to effective information sharing, particularly when an agency must then seek that consent. It is not unreasonable for children’s s</w:t>
      </w:r>
      <w:r w:rsidR="00534001">
        <w:rPr>
          <w:rFonts w:ascii="Century Gothic" w:hAnsi="Century Gothic"/>
          <w:sz w:val="22"/>
          <w:szCs w:val="22"/>
        </w:rPr>
        <w:t>ocial care</w:t>
      </w:r>
      <w:r w:rsidR="00A60F59" w:rsidRPr="00A60F59">
        <w:rPr>
          <w:rFonts w:ascii="Century Gothic" w:hAnsi="Century Gothic"/>
          <w:sz w:val="22"/>
          <w:szCs w:val="22"/>
        </w:rPr>
        <w:t xml:space="preserve"> to hold open those children to ensure that they receive an effective response. There ha</w:t>
      </w:r>
      <w:r w:rsidR="00534001">
        <w:rPr>
          <w:rFonts w:ascii="Century Gothic" w:hAnsi="Century Gothic"/>
          <w:sz w:val="22"/>
          <w:szCs w:val="22"/>
        </w:rPr>
        <w:t>ve</w:t>
      </w:r>
      <w:r w:rsidR="00A60F59" w:rsidRPr="00A60F59">
        <w:rPr>
          <w:rFonts w:ascii="Century Gothic" w:hAnsi="Century Gothic"/>
          <w:sz w:val="22"/>
          <w:szCs w:val="22"/>
        </w:rPr>
        <w:t xml:space="preserve"> been practice changes in local authority 5 because of this case which means children are ‘held’ open for 48 hours whilst that consent is sought. It would be sensible to consider this more widely to ensure children do not fall out of sight of children’s social care.   </w:t>
      </w:r>
    </w:p>
    <w:p w14:paraId="0D59C7CF" w14:textId="77777777" w:rsidR="00534001" w:rsidRPr="00A60F59" w:rsidRDefault="00534001" w:rsidP="00A60F59">
      <w:pPr>
        <w:pStyle w:val="ListParagraph"/>
        <w:spacing w:line="276" w:lineRule="auto"/>
        <w:ind w:left="1080"/>
        <w:jc w:val="both"/>
        <w:rPr>
          <w:rFonts w:ascii="Century Gothic" w:hAnsi="Century Gothic"/>
          <w:b/>
          <w:bCs/>
          <w:sz w:val="22"/>
          <w:szCs w:val="22"/>
        </w:rPr>
      </w:pPr>
    </w:p>
    <w:p w14:paraId="0C5B05B5" w14:textId="6D47A862" w:rsidR="001C42B0" w:rsidRDefault="001C42B0" w:rsidP="008478F1">
      <w:pPr>
        <w:pStyle w:val="ListParagraph"/>
        <w:spacing w:line="276" w:lineRule="auto"/>
        <w:ind w:left="1080"/>
        <w:jc w:val="both"/>
        <w:rPr>
          <w:rFonts w:ascii="Century Gothic" w:hAnsi="Century Gothic"/>
          <w:b/>
          <w:bCs/>
          <w:sz w:val="22"/>
          <w:szCs w:val="22"/>
        </w:rPr>
      </w:pPr>
      <w:r w:rsidRPr="00A60F59">
        <w:rPr>
          <w:rFonts w:ascii="Century Gothic" w:hAnsi="Century Gothic"/>
          <w:b/>
          <w:bCs/>
          <w:sz w:val="22"/>
          <w:szCs w:val="22"/>
        </w:rPr>
        <w:t xml:space="preserve">Health </w:t>
      </w:r>
    </w:p>
    <w:p w14:paraId="7113B1E2" w14:textId="77777777" w:rsidR="00715DC0" w:rsidRDefault="00715DC0" w:rsidP="008478F1">
      <w:pPr>
        <w:pStyle w:val="ListParagraph"/>
        <w:spacing w:line="276" w:lineRule="auto"/>
        <w:ind w:left="1080"/>
        <w:jc w:val="both"/>
        <w:rPr>
          <w:rFonts w:ascii="Century Gothic" w:hAnsi="Century Gothic"/>
          <w:b/>
          <w:bCs/>
          <w:sz w:val="22"/>
          <w:szCs w:val="22"/>
        </w:rPr>
      </w:pPr>
    </w:p>
    <w:p w14:paraId="105CD979" w14:textId="0EE9CDD8" w:rsidR="00A0465C" w:rsidRDefault="00A0465C" w:rsidP="00854E07">
      <w:pPr>
        <w:pStyle w:val="ListParagraph"/>
        <w:numPr>
          <w:ilvl w:val="1"/>
          <w:numId w:val="10"/>
        </w:numPr>
        <w:spacing w:line="276" w:lineRule="auto"/>
        <w:jc w:val="both"/>
        <w:rPr>
          <w:rFonts w:ascii="Century Gothic" w:hAnsi="Century Gothic"/>
          <w:sz w:val="22"/>
          <w:szCs w:val="22"/>
        </w:rPr>
      </w:pPr>
      <w:r w:rsidRPr="00854E07">
        <w:rPr>
          <w:rFonts w:ascii="Century Gothic" w:hAnsi="Century Gothic"/>
          <w:sz w:val="22"/>
          <w:szCs w:val="22"/>
        </w:rPr>
        <w:t>The health visiting service in local authority 3 have undertaken a Serious Incident Review</w:t>
      </w:r>
      <w:r>
        <w:rPr>
          <w:rStyle w:val="FootnoteReference"/>
          <w:rFonts w:ascii="Century Gothic" w:hAnsi="Century Gothic"/>
          <w:sz w:val="22"/>
          <w:szCs w:val="22"/>
        </w:rPr>
        <w:footnoteReference w:id="9"/>
      </w:r>
      <w:r w:rsidR="00534001">
        <w:rPr>
          <w:rFonts w:ascii="Century Gothic" w:hAnsi="Century Gothic"/>
          <w:sz w:val="22"/>
          <w:szCs w:val="22"/>
        </w:rPr>
        <w:t xml:space="preserve"> on the children</w:t>
      </w:r>
      <w:r>
        <w:rPr>
          <w:rFonts w:ascii="Century Gothic" w:hAnsi="Century Gothic"/>
          <w:sz w:val="22"/>
          <w:szCs w:val="22"/>
        </w:rPr>
        <w:t>.</w:t>
      </w:r>
      <w:r w:rsidRPr="00A0465C">
        <w:rPr>
          <w:rFonts w:ascii="Century Gothic" w:hAnsi="Century Gothic"/>
          <w:sz w:val="22"/>
          <w:szCs w:val="22"/>
        </w:rPr>
        <w:t xml:space="preserve"> </w:t>
      </w:r>
      <w:r>
        <w:rPr>
          <w:rFonts w:ascii="Century Gothic" w:hAnsi="Century Gothic"/>
          <w:sz w:val="22"/>
          <w:szCs w:val="22"/>
        </w:rPr>
        <w:t>There are significant gaps in the practice of the agency health visitor which have been addressed through the Significant Incident Review and subsequent referral to the Nursing and Midwifery Council.</w:t>
      </w:r>
    </w:p>
    <w:p w14:paraId="1E1BF237" w14:textId="1B290977" w:rsidR="00CE4C76" w:rsidRDefault="00CE4C76" w:rsidP="00854E07">
      <w:pPr>
        <w:pStyle w:val="ListParagraph"/>
        <w:numPr>
          <w:ilvl w:val="1"/>
          <w:numId w:val="10"/>
        </w:numPr>
        <w:spacing w:line="276" w:lineRule="auto"/>
        <w:jc w:val="both"/>
        <w:rPr>
          <w:rFonts w:ascii="Century Gothic" w:hAnsi="Century Gothic"/>
          <w:sz w:val="22"/>
          <w:szCs w:val="22"/>
        </w:rPr>
      </w:pPr>
      <w:r w:rsidRPr="00854E07">
        <w:rPr>
          <w:rFonts w:ascii="Century Gothic" w:hAnsi="Century Gothic"/>
          <w:sz w:val="22"/>
          <w:szCs w:val="22"/>
        </w:rPr>
        <w:t xml:space="preserve">The health visitor in local authority 3 was an agency health visitor employed in the service from August 2019. The agency health visitor was dismissed from the role in May 2020. </w:t>
      </w:r>
    </w:p>
    <w:p w14:paraId="500EF3A1" w14:textId="34FD1D52" w:rsidR="009D02A5" w:rsidRDefault="00A60F59" w:rsidP="00854E07">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The importance of ensuring that children are transferred safely and effectively between local authority areas needs to be reinforced</w:t>
      </w:r>
      <w:r w:rsidR="008478F1">
        <w:rPr>
          <w:rFonts w:ascii="Century Gothic" w:hAnsi="Century Gothic"/>
          <w:sz w:val="22"/>
          <w:szCs w:val="22"/>
        </w:rPr>
        <w:t xml:space="preserve"> with health visiting staff, both employed and contracted</w:t>
      </w:r>
      <w:r>
        <w:rPr>
          <w:rFonts w:ascii="Century Gothic" w:hAnsi="Century Gothic"/>
          <w:sz w:val="22"/>
          <w:szCs w:val="22"/>
        </w:rPr>
        <w:t xml:space="preserve">. </w:t>
      </w:r>
      <w:r w:rsidR="008478F1" w:rsidRPr="00854E07">
        <w:rPr>
          <w:rFonts w:ascii="Century Gothic" w:hAnsi="Century Gothic"/>
          <w:sz w:val="22"/>
          <w:szCs w:val="22"/>
        </w:rPr>
        <w:t xml:space="preserve">Health visitors hold children’s cases under the </w:t>
      </w:r>
      <w:r w:rsidR="008478F1">
        <w:rPr>
          <w:rFonts w:ascii="Century Gothic" w:hAnsi="Century Gothic"/>
          <w:sz w:val="22"/>
          <w:szCs w:val="22"/>
        </w:rPr>
        <w:t xml:space="preserve">nationwide </w:t>
      </w:r>
      <w:r w:rsidR="008478F1" w:rsidRPr="00854E07">
        <w:rPr>
          <w:rFonts w:ascii="Century Gothic" w:hAnsi="Century Gothic"/>
          <w:sz w:val="22"/>
          <w:szCs w:val="22"/>
        </w:rPr>
        <w:t>Healthy Child Programme, that being ‘universal, universal plus and universal partnership plus</w:t>
      </w:r>
      <w:r w:rsidR="008478F1">
        <w:rPr>
          <w:rStyle w:val="FootnoteReference"/>
          <w:rFonts w:ascii="Century Gothic" w:hAnsi="Century Gothic"/>
          <w:sz w:val="22"/>
          <w:szCs w:val="22"/>
        </w:rPr>
        <w:footnoteReference w:id="10"/>
      </w:r>
      <w:r w:rsidR="008478F1">
        <w:rPr>
          <w:rFonts w:ascii="Century Gothic" w:hAnsi="Century Gothic"/>
          <w:sz w:val="22"/>
          <w:szCs w:val="22"/>
        </w:rPr>
        <w:t>’</w:t>
      </w:r>
      <w:r w:rsidR="00534001">
        <w:rPr>
          <w:rFonts w:ascii="Century Gothic" w:hAnsi="Century Gothic"/>
          <w:sz w:val="22"/>
          <w:szCs w:val="22"/>
        </w:rPr>
        <w:t>. A</w:t>
      </w:r>
      <w:r w:rsidR="008478F1">
        <w:rPr>
          <w:rFonts w:ascii="Century Gothic" w:hAnsi="Century Gothic"/>
          <w:sz w:val="22"/>
          <w:szCs w:val="22"/>
        </w:rPr>
        <w:t>s the children had previously been subject to a child protection plan</w:t>
      </w:r>
      <w:r w:rsidR="00534001">
        <w:rPr>
          <w:rFonts w:ascii="Century Gothic" w:hAnsi="Century Gothic"/>
          <w:sz w:val="22"/>
          <w:szCs w:val="22"/>
        </w:rPr>
        <w:t xml:space="preserve">, they </w:t>
      </w:r>
      <w:r>
        <w:rPr>
          <w:rFonts w:ascii="Century Gothic" w:hAnsi="Century Gothic"/>
          <w:sz w:val="22"/>
          <w:szCs w:val="22"/>
        </w:rPr>
        <w:t xml:space="preserve">should have been referred through the existing </w:t>
      </w:r>
      <w:r w:rsidR="008478F1">
        <w:rPr>
          <w:rFonts w:ascii="Century Gothic" w:hAnsi="Century Gothic"/>
          <w:sz w:val="22"/>
          <w:szCs w:val="22"/>
        </w:rPr>
        <w:t xml:space="preserve">process under Universal Partnership Plus. It is a reminder to health visiting services across all the boroughs to reinforce this issue through effective supervision and management oversight. </w:t>
      </w:r>
    </w:p>
    <w:p w14:paraId="01206E33" w14:textId="79176CFF" w:rsidR="008478F1" w:rsidRDefault="008478F1" w:rsidP="00854E07">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Referral pathways in health visiting services should be well understood by practitioners in health and beyond to ensure children are receiving the correct level of support and intervention from the health visiting service. </w:t>
      </w:r>
    </w:p>
    <w:p w14:paraId="10518D38" w14:textId="760F41C1" w:rsidR="00650C90" w:rsidRDefault="0057615A" w:rsidP="00854E07">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There </w:t>
      </w:r>
      <w:r w:rsidR="008478F1">
        <w:rPr>
          <w:rFonts w:ascii="Century Gothic" w:hAnsi="Century Gothic"/>
          <w:sz w:val="22"/>
          <w:szCs w:val="22"/>
        </w:rPr>
        <w:t xml:space="preserve">needs to be awareness raising of partner agencies, including health and the voluntary sector, as to the </w:t>
      </w:r>
      <w:r w:rsidR="00650C90">
        <w:rPr>
          <w:rFonts w:ascii="Century Gothic" w:hAnsi="Century Gothic"/>
          <w:sz w:val="22"/>
          <w:szCs w:val="22"/>
        </w:rPr>
        <w:t xml:space="preserve">complexity and impact of domestic </w:t>
      </w:r>
      <w:r w:rsidR="00650C90">
        <w:rPr>
          <w:rFonts w:ascii="Century Gothic" w:hAnsi="Century Gothic"/>
          <w:sz w:val="22"/>
          <w:szCs w:val="22"/>
        </w:rPr>
        <w:lastRenderedPageBreak/>
        <w:t>abuse on children</w:t>
      </w:r>
      <w:r w:rsidR="00405761">
        <w:rPr>
          <w:rFonts w:ascii="Century Gothic" w:hAnsi="Century Gothic"/>
          <w:sz w:val="22"/>
          <w:szCs w:val="22"/>
        </w:rPr>
        <w:t xml:space="preserve">. </w:t>
      </w:r>
      <w:r w:rsidR="003A7299">
        <w:rPr>
          <w:rFonts w:ascii="Century Gothic" w:hAnsi="Century Gothic"/>
          <w:sz w:val="22"/>
          <w:szCs w:val="22"/>
        </w:rPr>
        <w:t>The children’s presenta</w:t>
      </w:r>
      <w:r w:rsidR="00C06CEC">
        <w:rPr>
          <w:rFonts w:ascii="Century Gothic" w:hAnsi="Century Gothic"/>
          <w:sz w:val="22"/>
          <w:szCs w:val="22"/>
        </w:rPr>
        <w:t xml:space="preserve">tion and </w:t>
      </w:r>
      <w:r w:rsidR="005039AE">
        <w:rPr>
          <w:rFonts w:ascii="Century Gothic" w:hAnsi="Century Gothic"/>
          <w:sz w:val="22"/>
          <w:szCs w:val="22"/>
        </w:rPr>
        <w:t xml:space="preserve">experiences did not prompt further enquiry and investigation. </w:t>
      </w:r>
    </w:p>
    <w:p w14:paraId="492AD3BA" w14:textId="0B6B9F80" w:rsidR="005F48CE" w:rsidRPr="00854E07" w:rsidRDefault="002C26D5" w:rsidP="007A6D17">
      <w:pPr>
        <w:spacing w:line="276" w:lineRule="auto"/>
        <w:jc w:val="both"/>
        <w:rPr>
          <w:rFonts w:ascii="Century Gothic" w:hAnsi="Century Gothic"/>
          <w:b/>
          <w:bCs/>
          <w:sz w:val="22"/>
          <w:szCs w:val="22"/>
        </w:rPr>
      </w:pPr>
      <w:r>
        <w:rPr>
          <w:rFonts w:ascii="Century Gothic" w:hAnsi="Century Gothic"/>
          <w:b/>
          <w:bCs/>
          <w:sz w:val="22"/>
          <w:szCs w:val="22"/>
        </w:rPr>
        <w:t xml:space="preserve">                 </w:t>
      </w:r>
      <w:r w:rsidR="00C170A0" w:rsidRPr="00854E07">
        <w:rPr>
          <w:rFonts w:ascii="Century Gothic" w:hAnsi="Century Gothic"/>
          <w:b/>
          <w:bCs/>
          <w:sz w:val="22"/>
          <w:szCs w:val="22"/>
        </w:rPr>
        <w:t>Housing</w:t>
      </w:r>
    </w:p>
    <w:p w14:paraId="4C93F2C2" w14:textId="457081D4" w:rsidR="00DC7AB1" w:rsidRPr="00854E07" w:rsidRDefault="002A5A3C" w:rsidP="00854E07">
      <w:pPr>
        <w:pStyle w:val="ListParagraph"/>
        <w:numPr>
          <w:ilvl w:val="1"/>
          <w:numId w:val="10"/>
        </w:numPr>
        <w:spacing w:line="276" w:lineRule="auto"/>
        <w:jc w:val="both"/>
        <w:rPr>
          <w:rFonts w:ascii="Century Gothic" w:hAnsi="Century Gothic"/>
          <w:sz w:val="22"/>
          <w:szCs w:val="22"/>
        </w:rPr>
      </w:pPr>
      <w:r w:rsidRPr="00854E07">
        <w:rPr>
          <w:rFonts w:ascii="Century Gothic" w:hAnsi="Century Gothic"/>
          <w:sz w:val="22"/>
          <w:szCs w:val="22"/>
        </w:rPr>
        <w:t>Birth mother had made a homeless application to local authority 4</w:t>
      </w:r>
      <w:r>
        <w:rPr>
          <w:rFonts w:ascii="Century Gothic" w:hAnsi="Century Gothic"/>
          <w:sz w:val="22"/>
          <w:szCs w:val="22"/>
        </w:rPr>
        <w:t xml:space="preserve"> and the </w:t>
      </w:r>
      <w:r w:rsidR="00DC7AB1" w:rsidRPr="00854E07">
        <w:rPr>
          <w:rFonts w:ascii="Century Gothic" w:hAnsi="Century Gothic"/>
          <w:sz w:val="22"/>
          <w:szCs w:val="22"/>
        </w:rPr>
        <w:t>domestic abuse housing officer</w:t>
      </w:r>
      <w:r w:rsidR="00965D2D" w:rsidRPr="00854E07">
        <w:rPr>
          <w:rFonts w:ascii="Century Gothic" w:hAnsi="Century Gothic"/>
          <w:sz w:val="22"/>
          <w:szCs w:val="22"/>
        </w:rPr>
        <w:t xml:space="preserve"> in local authority 4</w:t>
      </w:r>
      <w:r w:rsidR="00DC7AB1" w:rsidRPr="00854E07">
        <w:rPr>
          <w:rFonts w:ascii="Century Gothic" w:hAnsi="Century Gothic"/>
          <w:sz w:val="22"/>
          <w:szCs w:val="22"/>
        </w:rPr>
        <w:t xml:space="preserve"> undertook a CAADA Risk </w:t>
      </w:r>
      <w:r w:rsidR="00661747">
        <w:rPr>
          <w:rFonts w:ascii="Century Gothic" w:hAnsi="Century Gothic"/>
          <w:sz w:val="22"/>
          <w:szCs w:val="22"/>
        </w:rPr>
        <w:t>Identification assessment</w:t>
      </w:r>
      <w:r w:rsidR="00935888">
        <w:rPr>
          <w:rFonts w:ascii="Century Gothic" w:hAnsi="Century Gothic"/>
          <w:sz w:val="22"/>
          <w:szCs w:val="22"/>
        </w:rPr>
        <w:t xml:space="preserve"> (now known as </w:t>
      </w:r>
      <w:r w:rsidR="00DB3D93">
        <w:rPr>
          <w:rFonts w:ascii="Century Gothic" w:hAnsi="Century Gothic"/>
          <w:sz w:val="22"/>
          <w:szCs w:val="22"/>
        </w:rPr>
        <w:t>‘</w:t>
      </w:r>
      <w:proofErr w:type="spellStart"/>
      <w:r w:rsidR="00935888" w:rsidRPr="00935888">
        <w:rPr>
          <w:rFonts w:ascii="Century Gothic" w:hAnsi="Century Gothic"/>
          <w:color w:val="222222"/>
          <w:sz w:val="22"/>
          <w:szCs w:val="22"/>
          <w:shd w:val="clear" w:color="auto" w:fill="FFFFFF"/>
        </w:rPr>
        <w:t>Safelives</w:t>
      </w:r>
      <w:proofErr w:type="spellEnd"/>
      <w:r w:rsidR="00DB3D93">
        <w:rPr>
          <w:rFonts w:ascii="Century Gothic" w:hAnsi="Century Gothic"/>
          <w:color w:val="222222"/>
          <w:sz w:val="22"/>
          <w:szCs w:val="22"/>
          <w:shd w:val="clear" w:color="auto" w:fill="FFFFFF"/>
        </w:rPr>
        <w:t>’</w:t>
      </w:r>
      <w:r w:rsidR="00935888" w:rsidRPr="00935888">
        <w:rPr>
          <w:rFonts w:ascii="Century Gothic" w:hAnsi="Century Gothic"/>
          <w:color w:val="222222"/>
          <w:sz w:val="22"/>
          <w:szCs w:val="22"/>
          <w:shd w:val="clear" w:color="auto" w:fill="FFFFFF"/>
        </w:rPr>
        <w:t xml:space="preserve"> Dash risk checklist/ assessments</w:t>
      </w:r>
      <w:r w:rsidR="00935888">
        <w:rPr>
          <w:rFonts w:ascii="Century Gothic" w:hAnsi="Century Gothic"/>
          <w:color w:val="222222"/>
          <w:sz w:val="22"/>
          <w:szCs w:val="22"/>
          <w:shd w:val="clear" w:color="auto" w:fill="FFFFFF"/>
        </w:rPr>
        <w:t>)</w:t>
      </w:r>
      <w:r w:rsidR="00661747" w:rsidRPr="00935888">
        <w:rPr>
          <w:rFonts w:ascii="Century Gothic" w:hAnsi="Century Gothic"/>
          <w:sz w:val="22"/>
          <w:szCs w:val="22"/>
        </w:rPr>
        <w:t>,</w:t>
      </w:r>
      <w:r w:rsidR="00661747">
        <w:rPr>
          <w:rFonts w:ascii="Century Gothic" w:hAnsi="Century Gothic"/>
          <w:sz w:val="22"/>
          <w:szCs w:val="22"/>
        </w:rPr>
        <w:t xml:space="preserve"> </w:t>
      </w:r>
      <w:r w:rsidR="00DC7AB1" w:rsidRPr="00854E07">
        <w:rPr>
          <w:rFonts w:ascii="Century Gothic" w:hAnsi="Century Gothic"/>
          <w:sz w:val="22"/>
          <w:szCs w:val="22"/>
        </w:rPr>
        <w:t xml:space="preserve">which deemed mother to be at high risk. </w:t>
      </w:r>
      <w:r w:rsidR="00965D2D" w:rsidRPr="00854E07">
        <w:rPr>
          <w:rFonts w:ascii="Century Gothic" w:hAnsi="Century Gothic"/>
          <w:sz w:val="22"/>
          <w:szCs w:val="22"/>
        </w:rPr>
        <w:t xml:space="preserve">The domestic abuse housing officer did not believe that birth mother could afford a property in the borough and this may have been the reasoning for not referring </w:t>
      </w:r>
      <w:r>
        <w:rPr>
          <w:rFonts w:ascii="Century Gothic" w:hAnsi="Century Gothic"/>
          <w:sz w:val="22"/>
          <w:szCs w:val="22"/>
        </w:rPr>
        <w:t>the family to other services in the borough</w:t>
      </w:r>
      <w:r w:rsidR="00965D2D" w:rsidRPr="00854E07">
        <w:rPr>
          <w:rFonts w:ascii="Century Gothic" w:hAnsi="Century Gothic"/>
          <w:sz w:val="22"/>
          <w:szCs w:val="22"/>
        </w:rPr>
        <w:t xml:space="preserve">. </w:t>
      </w:r>
      <w:r w:rsidR="00DC7AB1" w:rsidRPr="00854E07">
        <w:rPr>
          <w:rFonts w:ascii="Century Gothic" w:hAnsi="Century Gothic"/>
          <w:sz w:val="22"/>
          <w:szCs w:val="22"/>
        </w:rPr>
        <w:t>The assumption</w:t>
      </w:r>
      <w:r w:rsidR="004C186F">
        <w:rPr>
          <w:rFonts w:ascii="Century Gothic" w:hAnsi="Century Gothic"/>
          <w:sz w:val="22"/>
          <w:szCs w:val="22"/>
        </w:rPr>
        <w:t xml:space="preserve">, which has been reinforced </w:t>
      </w:r>
      <w:r>
        <w:rPr>
          <w:rFonts w:ascii="Century Gothic" w:hAnsi="Century Gothic"/>
          <w:sz w:val="22"/>
          <w:szCs w:val="22"/>
        </w:rPr>
        <w:t>in other commentary</w:t>
      </w:r>
      <w:r w:rsidR="004C186F">
        <w:rPr>
          <w:rFonts w:ascii="Century Gothic" w:hAnsi="Century Gothic"/>
          <w:sz w:val="22"/>
          <w:szCs w:val="22"/>
        </w:rPr>
        <w:t>,</w:t>
      </w:r>
      <w:r w:rsidR="00542574">
        <w:rPr>
          <w:rFonts w:ascii="Century Gothic" w:hAnsi="Century Gothic"/>
          <w:sz w:val="22"/>
          <w:szCs w:val="22"/>
        </w:rPr>
        <w:t xml:space="preserve"> is that birth </w:t>
      </w:r>
      <w:r w:rsidR="00DC7AB1" w:rsidRPr="00854E07">
        <w:rPr>
          <w:rFonts w:ascii="Century Gothic" w:hAnsi="Century Gothic"/>
          <w:sz w:val="22"/>
          <w:szCs w:val="22"/>
        </w:rPr>
        <w:t xml:space="preserve">mother was ‘safe’ in the </w:t>
      </w:r>
      <w:r w:rsidR="00294E3B">
        <w:rPr>
          <w:rFonts w:ascii="Century Gothic" w:hAnsi="Century Gothic"/>
          <w:sz w:val="22"/>
          <w:szCs w:val="22"/>
        </w:rPr>
        <w:t>r</w:t>
      </w:r>
      <w:r w:rsidR="008F1414" w:rsidRPr="00854E07">
        <w:rPr>
          <w:rFonts w:ascii="Century Gothic" w:hAnsi="Century Gothic"/>
          <w:sz w:val="22"/>
          <w:szCs w:val="22"/>
        </w:rPr>
        <w:t>efuge</w:t>
      </w:r>
      <w:r w:rsidR="00DC7AB1" w:rsidRPr="00854E07">
        <w:rPr>
          <w:rFonts w:ascii="Century Gothic" w:hAnsi="Century Gothic"/>
          <w:sz w:val="22"/>
          <w:szCs w:val="22"/>
        </w:rPr>
        <w:t xml:space="preserve"> and that she was receiving appropriate support. The needs and risks of the children </w:t>
      </w:r>
      <w:r>
        <w:rPr>
          <w:rFonts w:ascii="Century Gothic" w:hAnsi="Century Gothic"/>
          <w:sz w:val="22"/>
          <w:szCs w:val="22"/>
        </w:rPr>
        <w:t xml:space="preserve">do not </w:t>
      </w:r>
      <w:r w:rsidR="00DC7AB1" w:rsidRPr="00854E07">
        <w:rPr>
          <w:rFonts w:ascii="Century Gothic" w:hAnsi="Century Gothic"/>
          <w:sz w:val="22"/>
          <w:szCs w:val="22"/>
        </w:rPr>
        <w:t xml:space="preserve">appear to have been </w:t>
      </w:r>
      <w:r>
        <w:rPr>
          <w:rFonts w:ascii="Century Gothic" w:hAnsi="Century Gothic"/>
          <w:sz w:val="22"/>
          <w:szCs w:val="22"/>
        </w:rPr>
        <w:t>considered separately.</w:t>
      </w:r>
    </w:p>
    <w:p w14:paraId="122BF139" w14:textId="23450F1E" w:rsidR="00DC7AB1" w:rsidRPr="00FC605B" w:rsidRDefault="00DC7AB1" w:rsidP="00FC605B">
      <w:pPr>
        <w:pStyle w:val="ListParagraph"/>
        <w:numPr>
          <w:ilvl w:val="1"/>
          <w:numId w:val="10"/>
        </w:numPr>
        <w:spacing w:line="276" w:lineRule="auto"/>
        <w:jc w:val="both"/>
        <w:rPr>
          <w:rFonts w:ascii="Century Gothic" w:hAnsi="Century Gothic"/>
          <w:sz w:val="22"/>
          <w:szCs w:val="22"/>
        </w:rPr>
      </w:pPr>
      <w:r w:rsidRPr="00FC605B">
        <w:rPr>
          <w:rFonts w:ascii="Century Gothic" w:hAnsi="Century Gothic"/>
          <w:sz w:val="22"/>
          <w:szCs w:val="22"/>
        </w:rPr>
        <w:t xml:space="preserve">Birth mother reported that she wished to move from </w:t>
      </w:r>
      <w:r w:rsidR="00294E3B">
        <w:rPr>
          <w:rFonts w:ascii="Century Gothic" w:hAnsi="Century Gothic"/>
          <w:sz w:val="22"/>
          <w:szCs w:val="22"/>
        </w:rPr>
        <w:t>r</w:t>
      </w:r>
      <w:r w:rsidR="008F1414" w:rsidRPr="00FC605B">
        <w:rPr>
          <w:rFonts w:ascii="Century Gothic" w:hAnsi="Century Gothic"/>
          <w:sz w:val="22"/>
          <w:szCs w:val="22"/>
        </w:rPr>
        <w:t>efuge</w:t>
      </w:r>
      <w:r w:rsidRPr="00FC605B">
        <w:rPr>
          <w:rFonts w:ascii="Century Gothic" w:hAnsi="Century Gothic"/>
          <w:sz w:val="22"/>
          <w:szCs w:val="22"/>
        </w:rPr>
        <w:t xml:space="preserve"> accommodation as she was finding the environment difficult to live in with the children. </w:t>
      </w:r>
      <w:r w:rsidR="00965D2D" w:rsidRPr="00FC605B">
        <w:rPr>
          <w:rFonts w:ascii="Century Gothic" w:hAnsi="Century Gothic"/>
          <w:sz w:val="22"/>
          <w:szCs w:val="22"/>
        </w:rPr>
        <w:t>T</w:t>
      </w:r>
      <w:r w:rsidR="00932A59" w:rsidRPr="00FC605B">
        <w:rPr>
          <w:rFonts w:ascii="Century Gothic" w:hAnsi="Century Gothic"/>
          <w:sz w:val="22"/>
          <w:szCs w:val="22"/>
        </w:rPr>
        <w:t xml:space="preserve">he domestic abuse housing officer did support birth mother with an application for housing benefit and council tax. </w:t>
      </w:r>
    </w:p>
    <w:p w14:paraId="328A4FD9" w14:textId="436A56E2" w:rsidR="00264B9B" w:rsidRPr="00750319" w:rsidRDefault="00932A59" w:rsidP="00750319">
      <w:pPr>
        <w:pStyle w:val="ListParagraph"/>
        <w:numPr>
          <w:ilvl w:val="1"/>
          <w:numId w:val="10"/>
        </w:numPr>
        <w:spacing w:line="276" w:lineRule="auto"/>
        <w:jc w:val="both"/>
        <w:rPr>
          <w:rFonts w:ascii="Century Gothic" w:hAnsi="Century Gothic"/>
          <w:sz w:val="22"/>
          <w:szCs w:val="22"/>
        </w:rPr>
      </w:pPr>
      <w:r w:rsidRPr="00750319">
        <w:rPr>
          <w:rFonts w:ascii="Century Gothic" w:hAnsi="Century Gothic"/>
          <w:sz w:val="22"/>
          <w:szCs w:val="22"/>
        </w:rPr>
        <w:t xml:space="preserve">Local authority 5 housing department had no contact with local authority 4. </w:t>
      </w:r>
      <w:r w:rsidR="002A5A3C">
        <w:rPr>
          <w:rFonts w:ascii="Century Gothic" w:hAnsi="Century Gothic"/>
          <w:sz w:val="22"/>
          <w:szCs w:val="22"/>
        </w:rPr>
        <w:t>L</w:t>
      </w:r>
      <w:r w:rsidRPr="00750319">
        <w:rPr>
          <w:rFonts w:ascii="Century Gothic" w:hAnsi="Century Gothic"/>
          <w:sz w:val="22"/>
          <w:szCs w:val="22"/>
        </w:rPr>
        <w:t xml:space="preserve">ocal authority 4’s placement policy for temporary accommodation and private </w:t>
      </w:r>
      <w:r w:rsidR="00BE240F" w:rsidRPr="00750319">
        <w:rPr>
          <w:rFonts w:ascii="Century Gothic" w:hAnsi="Century Gothic"/>
          <w:sz w:val="22"/>
          <w:szCs w:val="22"/>
        </w:rPr>
        <w:t>r</w:t>
      </w:r>
      <w:r w:rsidRPr="00750319">
        <w:rPr>
          <w:rFonts w:ascii="Century Gothic" w:hAnsi="Century Gothic"/>
          <w:sz w:val="22"/>
          <w:szCs w:val="22"/>
        </w:rPr>
        <w:t>ented accommodation</w:t>
      </w:r>
      <w:r w:rsidR="00BE240F" w:rsidRPr="00750319">
        <w:rPr>
          <w:rFonts w:ascii="Century Gothic" w:hAnsi="Century Gothic"/>
          <w:sz w:val="22"/>
          <w:szCs w:val="22"/>
        </w:rPr>
        <w:t xml:space="preserve"> stat</w:t>
      </w:r>
      <w:r w:rsidR="002A5A3C">
        <w:rPr>
          <w:rFonts w:ascii="Century Gothic" w:hAnsi="Century Gothic"/>
          <w:sz w:val="22"/>
          <w:szCs w:val="22"/>
        </w:rPr>
        <w:t>es</w:t>
      </w:r>
      <w:r w:rsidR="00965D2D" w:rsidRPr="00750319">
        <w:rPr>
          <w:rFonts w:ascii="Century Gothic" w:hAnsi="Century Gothic"/>
          <w:sz w:val="22"/>
          <w:szCs w:val="22"/>
        </w:rPr>
        <w:t xml:space="preserve"> </w:t>
      </w:r>
      <w:r w:rsidR="00BE240F" w:rsidRPr="00750319">
        <w:rPr>
          <w:rFonts w:ascii="Century Gothic" w:hAnsi="Century Gothic"/>
          <w:sz w:val="22"/>
          <w:szCs w:val="22"/>
        </w:rPr>
        <w:t xml:space="preserve">that  ‘We will aim to ensure that information concerning details of placements in temporary accommodation and private rented accommodation outside of the borough is shared as far as possible in a fair and timely manner with the relevant councils in areas where families are moving to’ and ‘Vulnerable families – </w:t>
      </w:r>
      <w:r w:rsidR="00C230E0" w:rsidRPr="00750319">
        <w:rPr>
          <w:rFonts w:ascii="Century Gothic" w:hAnsi="Century Gothic"/>
          <w:sz w:val="22"/>
          <w:szCs w:val="22"/>
        </w:rPr>
        <w:t>s</w:t>
      </w:r>
      <w:r w:rsidR="00BE240F" w:rsidRPr="00750319">
        <w:rPr>
          <w:rFonts w:ascii="Century Gothic" w:hAnsi="Century Gothic"/>
          <w:sz w:val="22"/>
          <w:szCs w:val="22"/>
        </w:rPr>
        <w:t>o far as is practicable if placing vulnerable families outside of the borough we will ensure that such families will continue to receive appropriate support</w:t>
      </w:r>
      <w:r w:rsidR="00264B9B" w:rsidRPr="00750319">
        <w:rPr>
          <w:rFonts w:ascii="Century Gothic" w:hAnsi="Century Gothic"/>
          <w:sz w:val="22"/>
          <w:szCs w:val="22"/>
        </w:rPr>
        <w:t xml:space="preserve">’. Neither of these </w:t>
      </w:r>
      <w:r w:rsidR="002A5A3C">
        <w:rPr>
          <w:rFonts w:ascii="Century Gothic" w:hAnsi="Century Gothic"/>
          <w:sz w:val="22"/>
          <w:szCs w:val="22"/>
        </w:rPr>
        <w:t>actions</w:t>
      </w:r>
      <w:r w:rsidR="00264B9B" w:rsidRPr="00750319">
        <w:rPr>
          <w:rFonts w:ascii="Century Gothic" w:hAnsi="Century Gothic"/>
          <w:sz w:val="22"/>
          <w:szCs w:val="22"/>
        </w:rPr>
        <w:t xml:space="preserve"> were followed in the case of Child T and her family as the case was closed at the point of the family moving. This is despite the CAADA risk assessment indicating birth mother was at high risk of domestic abuse and the high likelihood that if the family had rehoused in local authority 4, they would have been referred to </w:t>
      </w:r>
      <w:r w:rsidR="0088596F">
        <w:rPr>
          <w:rFonts w:ascii="Century Gothic" w:hAnsi="Century Gothic"/>
          <w:sz w:val="22"/>
          <w:szCs w:val="22"/>
        </w:rPr>
        <w:t>children’s social care</w:t>
      </w:r>
      <w:r w:rsidR="00264B9B" w:rsidRPr="00750319">
        <w:rPr>
          <w:rFonts w:ascii="Century Gothic" w:hAnsi="Century Gothic"/>
          <w:sz w:val="22"/>
          <w:szCs w:val="22"/>
        </w:rPr>
        <w:t xml:space="preserve"> and the MARAC.</w:t>
      </w:r>
    </w:p>
    <w:p w14:paraId="7AC2BDDD" w14:textId="5EF7C42E" w:rsidR="00BE240F" w:rsidRDefault="00264B9B" w:rsidP="00750319">
      <w:pPr>
        <w:pStyle w:val="ListParagraph"/>
        <w:numPr>
          <w:ilvl w:val="1"/>
          <w:numId w:val="10"/>
        </w:numPr>
        <w:spacing w:line="276" w:lineRule="auto"/>
        <w:jc w:val="both"/>
        <w:rPr>
          <w:rFonts w:ascii="Century Gothic" w:hAnsi="Century Gothic"/>
          <w:sz w:val="22"/>
          <w:szCs w:val="22"/>
        </w:rPr>
      </w:pPr>
      <w:r w:rsidRPr="00750319">
        <w:rPr>
          <w:rFonts w:ascii="Century Gothic" w:hAnsi="Century Gothic"/>
          <w:sz w:val="22"/>
          <w:szCs w:val="22"/>
        </w:rPr>
        <w:t xml:space="preserve">The housing department in local authority 4 have reflected that all families moving from </w:t>
      </w:r>
      <w:r w:rsidR="00294E3B">
        <w:rPr>
          <w:rFonts w:ascii="Century Gothic" w:hAnsi="Century Gothic"/>
          <w:sz w:val="22"/>
          <w:szCs w:val="22"/>
        </w:rPr>
        <w:t>r</w:t>
      </w:r>
      <w:r w:rsidR="008F1414" w:rsidRPr="00750319">
        <w:rPr>
          <w:rFonts w:ascii="Century Gothic" w:hAnsi="Century Gothic"/>
          <w:sz w:val="22"/>
          <w:szCs w:val="22"/>
        </w:rPr>
        <w:t>efuge</w:t>
      </w:r>
      <w:r w:rsidRPr="00750319">
        <w:rPr>
          <w:rFonts w:ascii="Century Gothic" w:hAnsi="Century Gothic"/>
          <w:sz w:val="22"/>
          <w:szCs w:val="22"/>
        </w:rPr>
        <w:t xml:space="preserve"> accommodation and making homelessness applications to the borough should be referred to the </w:t>
      </w:r>
      <w:r w:rsidR="00510975" w:rsidRPr="00750319">
        <w:rPr>
          <w:rFonts w:ascii="Century Gothic" w:hAnsi="Century Gothic"/>
          <w:sz w:val="22"/>
          <w:szCs w:val="22"/>
        </w:rPr>
        <w:t xml:space="preserve">MASH or similar </w:t>
      </w:r>
      <w:r w:rsidR="0088596F">
        <w:rPr>
          <w:rFonts w:ascii="Century Gothic" w:hAnsi="Century Gothic"/>
          <w:sz w:val="22"/>
          <w:szCs w:val="22"/>
        </w:rPr>
        <w:t>children’s social care</w:t>
      </w:r>
      <w:r w:rsidR="00510975" w:rsidRPr="00750319">
        <w:rPr>
          <w:rFonts w:ascii="Century Gothic" w:hAnsi="Century Gothic"/>
          <w:sz w:val="22"/>
          <w:szCs w:val="22"/>
        </w:rPr>
        <w:t xml:space="preserve"> front door arrangements. </w:t>
      </w:r>
    </w:p>
    <w:p w14:paraId="046BAEEF" w14:textId="77777777" w:rsidR="002A5A3C" w:rsidRDefault="002A5A3C" w:rsidP="002A5A3C">
      <w:pPr>
        <w:pStyle w:val="ListParagraph"/>
        <w:spacing w:line="276" w:lineRule="auto"/>
        <w:ind w:left="1080"/>
        <w:jc w:val="both"/>
        <w:rPr>
          <w:rFonts w:ascii="Century Gothic" w:hAnsi="Century Gothic"/>
          <w:sz w:val="22"/>
          <w:szCs w:val="22"/>
        </w:rPr>
      </w:pPr>
    </w:p>
    <w:p w14:paraId="5ABF52C6" w14:textId="42524EFC" w:rsidR="00194F3E" w:rsidRDefault="0049559E" w:rsidP="00F74E03">
      <w:pPr>
        <w:pStyle w:val="ListParagraph"/>
        <w:numPr>
          <w:ilvl w:val="0"/>
          <w:numId w:val="10"/>
        </w:numPr>
        <w:spacing w:line="276" w:lineRule="auto"/>
        <w:jc w:val="both"/>
        <w:rPr>
          <w:rFonts w:ascii="Century Gothic" w:hAnsi="Century Gothic"/>
          <w:b/>
          <w:bCs/>
          <w:sz w:val="22"/>
          <w:szCs w:val="22"/>
        </w:rPr>
      </w:pPr>
      <w:r w:rsidRPr="00F74E03">
        <w:rPr>
          <w:rFonts w:ascii="Century Gothic" w:hAnsi="Century Gothic"/>
          <w:b/>
          <w:bCs/>
          <w:sz w:val="22"/>
          <w:szCs w:val="22"/>
        </w:rPr>
        <w:t>Safer sleeping advice and guidance</w:t>
      </w:r>
    </w:p>
    <w:p w14:paraId="6AACF6D5" w14:textId="77777777" w:rsidR="00715DC0" w:rsidRPr="00F74E03" w:rsidRDefault="00715DC0" w:rsidP="00715DC0">
      <w:pPr>
        <w:pStyle w:val="ListParagraph"/>
        <w:spacing w:line="276" w:lineRule="auto"/>
        <w:jc w:val="both"/>
        <w:rPr>
          <w:rFonts w:ascii="Century Gothic" w:hAnsi="Century Gothic"/>
          <w:b/>
          <w:bCs/>
          <w:sz w:val="22"/>
          <w:szCs w:val="22"/>
        </w:rPr>
      </w:pPr>
    </w:p>
    <w:p w14:paraId="25B70DFB" w14:textId="421EDD1C" w:rsidR="00005435" w:rsidRDefault="0049559E" w:rsidP="00F74E03">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t>Birth mother recalls receiving safer sleeping advice from her previous health visitor when her first daughter was born. She stated she understood the risks regarding safe sleeping</w:t>
      </w:r>
      <w:r w:rsidR="0061693B">
        <w:rPr>
          <w:rFonts w:ascii="Century Gothic" w:hAnsi="Century Gothic"/>
          <w:sz w:val="22"/>
          <w:szCs w:val="22"/>
        </w:rPr>
        <w:t xml:space="preserve">, but </w:t>
      </w:r>
      <w:r w:rsidR="003A6780">
        <w:rPr>
          <w:rFonts w:ascii="Century Gothic" w:hAnsi="Century Gothic"/>
          <w:sz w:val="22"/>
          <w:szCs w:val="22"/>
        </w:rPr>
        <w:t xml:space="preserve">she recalled </w:t>
      </w:r>
      <w:r w:rsidR="0061693B">
        <w:rPr>
          <w:rFonts w:ascii="Century Gothic" w:hAnsi="Century Gothic"/>
          <w:sz w:val="22"/>
          <w:szCs w:val="22"/>
        </w:rPr>
        <w:t xml:space="preserve">this was particular </w:t>
      </w:r>
      <w:r w:rsidR="009C03FF">
        <w:rPr>
          <w:rFonts w:ascii="Century Gothic" w:hAnsi="Century Gothic"/>
          <w:sz w:val="22"/>
          <w:szCs w:val="22"/>
        </w:rPr>
        <w:t>to co-sleeping advice</w:t>
      </w:r>
      <w:r w:rsidR="0020200E">
        <w:rPr>
          <w:rFonts w:ascii="Century Gothic" w:hAnsi="Century Gothic"/>
          <w:sz w:val="22"/>
          <w:szCs w:val="22"/>
        </w:rPr>
        <w:t>.</w:t>
      </w:r>
      <w:r w:rsidR="003A6780">
        <w:rPr>
          <w:rFonts w:ascii="Century Gothic" w:hAnsi="Century Gothic"/>
          <w:sz w:val="22"/>
          <w:szCs w:val="22"/>
        </w:rPr>
        <w:t xml:space="preserve"> </w:t>
      </w:r>
    </w:p>
    <w:p w14:paraId="3C245FFC" w14:textId="6BE79118" w:rsidR="006D1386" w:rsidRDefault="00B46D39" w:rsidP="00F74E03">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lastRenderedPageBreak/>
        <w:t xml:space="preserve">In the </w:t>
      </w:r>
      <w:r w:rsidR="00294E3B">
        <w:rPr>
          <w:rFonts w:ascii="Century Gothic" w:hAnsi="Century Gothic"/>
          <w:sz w:val="22"/>
          <w:szCs w:val="22"/>
        </w:rPr>
        <w:t>r</w:t>
      </w:r>
      <w:r w:rsidR="008F1414" w:rsidRPr="00F74E03">
        <w:rPr>
          <w:rFonts w:ascii="Century Gothic" w:hAnsi="Century Gothic"/>
          <w:sz w:val="22"/>
          <w:szCs w:val="22"/>
        </w:rPr>
        <w:t>efuge</w:t>
      </w:r>
      <w:r w:rsidRPr="00F74E03">
        <w:rPr>
          <w:rFonts w:ascii="Century Gothic" w:hAnsi="Century Gothic"/>
          <w:sz w:val="22"/>
          <w:szCs w:val="22"/>
        </w:rPr>
        <w:t xml:space="preserve"> accommodation, birth mother was provided with a cot, a bunk bed and a single bed in her room. This is standard furniture for rooms in the </w:t>
      </w:r>
      <w:r w:rsidR="00294E3B">
        <w:rPr>
          <w:rFonts w:ascii="Century Gothic" w:hAnsi="Century Gothic"/>
          <w:sz w:val="22"/>
          <w:szCs w:val="22"/>
        </w:rPr>
        <w:t>r</w:t>
      </w:r>
      <w:r w:rsidR="008F1414" w:rsidRPr="00F74E03">
        <w:rPr>
          <w:rFonts w:ascii="Century Gothic" w:hAnsi="Century Gothic"/>
          <w:sz w:val="22"/>
          <w:szCs w:val="22"/>
        </w:rPr>
        <w:t>efuge</w:t>
      </w:r>
      <w:r w:rsidRPr="00F74E03">
        <w:rPr>
          <w:rFonts w:ascii="Century Gothic" w:hAnsi="Century Gothic"/>
          <w:sz w:val="22"/>
          <w:szCs w:val="22"/>
        </w:rPr>
        <w:t xml:space="preserve">. The </w:t>
      </w:r>
      <w:r w:rsidR="00294E3B">
        <w:rPr>
          <w:rFonts w:ascii="Century Gothic" w:hAnsi="Century Gothic"/>
          <w:sz w:val="22"/>
          <w:szCs w:val="22"/>
        </w:rPr>
        <w:t>r</w:t>
      </w:r>
      <w:r w:rsidR="008F1414" w:rsidRPr="00F74E03">
        <w:rPr>
          <w:rFonts w:ascii="Century Gothic" w:hAnsi="Century Gothic"/>
          <w:sz w:val="22"/>
          <w:szCs w:val="22"/>
        </w:rPr>
        <w:t>efuge</w:t>
      </w:r>
      <w:r w:rsidRPr="00F74E03">
        <w:rPr>
          <w:rFonts w:ascii="Century Gothic" w:hAnsi="Century Gothic"/>
          <w:sz w:val="22"/>
          <w:szCs w:val="22"/>
        </w:rPr>
        <w:t xml:space="preserve"> </w:t>
      </w:r>
      <w:proofErr w:type="gramStart"/>
      <w:r w:rsidRPr="00F74E03">
        <w:rPr>
          <w:rFonts w:ascii="Century Gothic" w:hAnsi="Century Gothic"/>
          <w:sz w:val="22"/>
          <w:szCs w:val="22"/>
        </w:rPr>
        <w:t>have</w:t>
      </w:r>
      <w:proofErr w:type="gramEnd"/>
      <w:r w:rsidRPr="00F74E03">
        <w:rPr>
          <w:rFonts w:ascii="Century Gothic" w:hAnsi="Century Gothic"/>
          <w:sz w:val="22"/>
          <w:szCs w:val="22"/>
        </w:rPr>
        <w:t xml:space="preserve"> confirmed that their health and safety policy states that no children under 7 should use the top bunk bed and staff advise new residents that children who cannot sleep on their own in a bed must be in a cot. </w:t>
      </w:r>
      <w:r w:rsidR="006D1386" w:rsidRPr="00F74E03">
        <w:rPr>
          <w:rFonts w:ascii="Century Gothic" w:hAnsi="Century Gothic"/>
          <w:sz w:val="22"/>
          <w:szCs w:val="22"/>
        </w:rPr>
        <w:t xml:space="preserve">Birth mother reports that Child T slept in the cot in the </w:t>
      </w:r>
      <w:r w:rsidR="00294E3B">
        <w:rPr>
          <w:rFonts w:ascii="Century Gothic" w:hAnsi="Century Gothic"/>
          <w:sz w:val="22"/>
          <w:szCs w:val="22"/>
        </w:rPr>
        <w:t>r</w:t>
      </w:r>
      <w:r w:rsidR="008F1414" w:rsidRPr="00F74E03">
        <w:rPr>
          <w:rFonts w:ascii="Century Gothic" w:hAnsi="Century Gothic"/>
          <w:sz w:val="22"/>
          <w:szCs w:val="22"/>
        </w:rPr>
        <w:t>efuge</w:t>
      </w:r>
      <w:r w:rsidR="006D1386" w:rsidRPr="00F74E03">
        <w:rPr>
          <w:rFonts w:ascii="Century Gothic" w:hAnsi="Century Gothic"/>
          <w:sz w:val="22"/>
          <w:szCs w:val="22"/>
        </w:rPr>
        <w:t xml:space="preserve">. </w:t>
      </w:r>
    </w:p>
    <w:p w14:paraId="09568C42" w14:textId="3D8A096A" w:rsidR="00062B0E" w:rsidRPr="00F74E03" w:rsidRDefault="00062B0E" w:rsidP="00F74E03">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Birth father recalls that he purchased a cot for Child T. This was not present in </w:t>
      </w:r>
      <w:r w:rsidR="002D4729">
        <w:rPr>
          <w:rFonts w:ascii="Century Gothic" w:hAnsi="Century Gothic"/>
          <w:sz w:val="22"/>
          <w:szCs w:val="22"/>
        </w:rPr>
        <w:t xml:space="preserve">the </w:t>
      </w:r>
      <w:r w:rsidR="003205B8">
        <w:rPr>
          <w:rFonts w:ascii="Century Gothic" w:hAnsi="Century Gothic"/>
          <w:sz w:val="22"/>
          <w:szCs w:val="22"/>
        </w:rPr>
        <w:t>2-bedroom</w:t>
      </w:r>
      <w:r w:rsidR="002D4729">
        <w:rPr>
          <w:rFonts w:ascii="Century Gothic" w:hAnsi="Century Gothic"/>
          <w:sz w:val="22"/>
          <w:szCs w:val="22"/>
        </w:rPr>
        <w:t xml:space="preserve"> flat that mother and the children moved to in local authority 5. </w:t>
      </w:r>
    </w:p>
    <w:p w14:paraId="3D15930E" w14:textId="0548B18C" w:rsidR="003A6CF2" w:rsidRPr="003A6CF2" w:rsidRDefault="006D1386" w:rsidP="00E86BB4">
      <w:pPr>
        <w:pStyle w:val="ListParagraph"/>
        <w:numPr>
          <w:ilvl w:val="1"/>
          <w:numId w:val="10"/>
        </w:numPr>
        <w:spacing w:line="276" w:lineRule="auto"/>
        <w:jc w:val="both"/>
        <w:rPr>
          <w:rFonts w:ascii="Century Gothic" w:hAnsi="Century Gothic"/>
          <w:color w:val="333333"/>
          <w:sz w:val="22"/>
          <w:szCs w:val="22"/>
        </w:rPr>
      </w:pPr>
      <w:r w:rsidRPr="003A6CF2">
        <w:rPr>
          <w:rFonts w:ascii="Century Gothic" w:hAnsi="Century Gothic"/>
          <w:sz w:val="22"/>
          <w:szCs w:val="22"/>
        </w:rPr>
        <w:t xml:space="preserve">The property found in local authority 5 was a furnished flat and in the </w:t>
      </w:r>
      <w:r w:rsidR="002A5A3C" w:rsidRPr="003A6CF2">
        <w:rPr>
          <w:rFonts w:ascii="Century Gothic" w:hAnsi="Century Gothic"/>
          <w:sz w:val="22"/>
          <w:szCs w:val="22"/>
        </w:rPr>
        <w:t xml:space="preserve">children’s </w:t>
      </w:r>
      <w:r w:rsidRPr="003A6CF2">
        <w:rPr>
          <w:rFonts w:ascii="Century Gothic" w:hAnsi="Century Gothic"/>
          <w:sz w:val="22"/>
          <w:szCs w:val="22"/>
        </w:rPr>
        <w:t xml:space="preserve">bedroom </w:t>
      </w:r>
      <w:r w:rsidR="003A6CF2" w:rsidRPr="003A6CF2">
        <w:rPr>
          <w:rFonts w:ascii="Century Gothic" w:hAnsi="Century Gothic"/>
          <w:sz w:val="22"/>
          <w:szCs w:val="22"/>
        </w:rPr>
        <w:t xml:space="preserve">there </w:t>
      </w:r>
      <w:r w:rsidRPr="003A6CF2">
        <w:rPr>
          <w:rFonts w:ascii="Century Gothic" w:hAnsi="Century Gothic"/>
          <w:sz w:val="22"/>
          <w:szCs w:val="22"/>
        </w:rPr>
        <w:t xml:space="preserve">was a bunk bed with mattresses. Birth mother had requested a bed guard from </w:t>
      </w:r>
      <w:r w:rsidR="00D4114C" w:rsidRPr="003A6CF2">
        <w:rPr>
          <w:rFonts w:ascii="Century Gothic" w:hAnsi="Century Gothic"/>
          <w:sz w:val="22"/>
          <w:szCs w:val="22"/>
        </w:rPr>
        <w:t xml:space="preserve">the </w:t>
      </w:r>
      <w:r w:rsidRPr="003A6CF2">
        <w:rPr>
          <w:rFonts w:ascii="Century Gothic" w:hAnsi="Century Gothic"/>
          <w:sz w:val="22"/>
          <w:szCs w:val="22"/>
        </w:rPr>
        <w:t xml:space="preserve">voluntary sector </w:t>
      </w:r>
      <w:r w:rsidR="00D4114C" w:rsidRPr="003A6CF2">
        <w:rPr>
          <w:rFonts w:ascii="Century Gothic" w:hAnsi="Century Gothic"/>
          <w:sz w:val="22"/>
          <w:szCs w:val="22"/>
        </w:rPr>
        <w:t>agency</w:t>
      </w:r>
      <w:r w:rsidRPr="003A6CF2">
        <w:rPr>
          <w:rFonts w:ascii="Century Gothic" w:hAnsi="Century Gothic"/>
          <w:sz w:val="22"/>
          <w:szCs w:val="22"/>
        </w:rPr>
        <w:t xml:space="preserve"> for Child T to sleep on the bottom bunk and </w:t>
      </w:r>
      <w:r w:rsidR="00822005" w:rsidRPr="003A6CF2">
        <w:rPr>
          <w:rFonts w:ascii="Century Gothic" w:hAnsi="Century Gothic"/>
          <w:sz w:val="22"/>
          <w:szCs w:val="22"/>
        </w:rPr>
        <w:t xml:space="preserve">told the report author that </w:t>
      </w:r>
      <w:r w:rsidRPr="003A6CF2">
        <w:rPr>
          <w:rFonts w:ascii="Century Gothic" w:hAnsi="Century Gothic"/>
          <w:sz w:val="22"/>
          <w:szCs w:val="22"/>
        </w:rPr>
        <w:t xml:space="preserve">‘everyone was aware that I needed the bed guard for Child T to sleep on the bunk bed’. </w:t>
      </w:r>
      <w:r w:rsidR="00B62D12" w:rsidRPr="003A6CF2">
        <w:rPr>
          <w:rFonts w:ascii="Century Gothic" w:hAnsi="Century Gothic"/>
          <w:sz w:val="22"/>
          <w:szCs w:val="22"/>
        </w:rPr>
        <w:t>This was a safety measure</w:t>
      </w:r>
      <w:r w:rsidR="00F62386" w:rsidRPr="003A6CF2">
        <w:rPr>
          <w:rFonts w:ascii="Century Gothic" w:hAnsi="Century Gothic"/>
          <w:sz w:val="22"/>
          <w:szCs w:val="22"/>
        </w:rPr>
        <w:t xml:space="preserve"> birth mother put in place</w:t>
      </w:r>
      <w:r w:rsidR="00B62D12" w:rsidRPr="003A6CF2">
        <w:rPr>
          <w:rFonts w:ascii="Century Gothic" w:hAnsi="Century Gothic"/>
          <w:sz w:val="22"/>
          <w:szCs w:val="22"/>
        </w:rPr>
        <w:t xml:space="preserve"> to prevent Child T falling out of bed</w:t>
      </w:r>
      <w:r w:rsidR="00A13CE7" w:rsidRPr="003A6CF2">
        <w:rPr>
          <w:rFonts w:ascii="Century Gothic" w:hAnsi="Century Gothic"/>
          <w:sz w:val="22"/>
          <w:szCs w:val="22"/>
        </w:rPr>
        <w:t xml:space="preserve"> thus considering her wider safety</w:t>
      </w:r>
      <w:r w:rsidR="00B62D12" w:rsidRPr="003A6CF2">
        <w:rPr>
          <w:rFonts w:ascii="Century Gothic" w:hAnsi="Century Gothic"/>
          <w:sz w:val="22"/>
          <w:szCs w:val="22"/>
        </w:rPr>
        <w:t xml:space="preserve">. </w:t>
      </w:r>
      <w:r w:rsidRPr="003A6CF2">
        <w:rPr>
          <w:rFonts w:ascii="Century Gothic" w:hAnsi="Century Gothic"/>
          <w:sz w:val="22"/>
          <w:szCs w:val="22"/>
        </w:rPr>
        <w:t>Birth mother also described</w:t>
      </w:r>
      <w:r w:rsidR="0049559E" w:rsidRPr="003A6CF2">
        <w:rPr>
          <w:rFonts w:ascii="Century Gothic" w:hAnsi="Century Gothic"/>
          <w:sz w:val="22"/>
          <w:szCs w:val="22"/>
        </w:rPr>
        <w:t xml:space="preserve"> </w:t>
      </w:r>
      <w:r w:rsidRPr="003A6CF2">
        <w:rPr>
          <w:rFonts w:ascii="Century Gothic" w:hAnsi="Century Gothic"/>
          <w:sz w:val="22"/>
          <w:szCs w:val="22"/>
        </w:rPr>
        <w:t xml:space="preserve">Child T </w:t>
      </w:r>
      <w:r w:rsidR="0049559E" w:rsidRPr="003A6CF2">
        <w:rPr>
          <w:rFonts w:ascii="Century Gothic" w:hAnsi="Century Gothic"/>
          <w:sz w:val="22"/>
          <w:szCs w:val="22"/>
        </w:rPr>
        <w:t xml:space="preserve">as being a </w:t>
      </w:r>
      <w:r w:rsidR="00B46D39" w:rsidRPr="003A6CF2">
        <w:rPr>
          <w:rFonts w:ascii="Century Gothic" w:hAnsi="Century Gothic"/>
          <w:sz w:val="22"/>
          <w:szCs w:val="22"/>
        </w:rPr>
        <w:t xml:space="preserve">‘big child’ for her age and </w:t>
      </w:r>
      <w:r w:rsidRPr="003A6CF2">
        <w:rPr>
          <w:rFonts w:ascii="Century Gothic" w:hAnsi="Century Gothic"/>
          <w:sz w:val="22"/>
          <w:szCs w:val="22"/>
        </w:rPr>
        <w:t xml:space="preserve">had been eating solid food from the age of 6 months. </w:t>
      </w:r>
      <w:r w:rsidR="00440694" w:rsidRPr="003A6CF2">
        <w:rPr>
          <w:rFonts w:ascii="Century Gothic" w:hAnsi="Century Gothic"/>
          <w:sz w:val="22"/>
          <w:szCs w:val="22"/>
        </w:rPr>
        <w:t xml:space="preserve">This </w:t>
      </w:r>
      <w:r w:rsidR="00B62D12" w:rsidRPr="003A6CF2">
        <w:rPr>
          <w:rFonts w:ascii="Century Gothic" w:hAnsi="Century Gothic"/>
          <w:sz w:val="22"/>
          <w:szCs w:val="22"/>
        </w:rPr>
        <w:t xml:space="preserve">was </w:t>
      </w:r>
      <w:r w:rsidR="00440694" w:rsidRPr="003A6CF2">
        <w:rPr>
          <w:rFonts w:ascii="Century Gothic" w:hAnsi="Century Gothic"/>
          <w:sz w:val="22"/>
          <w:szCs w:val="22"/>
        </w:rPr>
        <w:t>birth mother’s reasoning for allowing Child T to sleep in the bunk bed with a bed guard.</w:t>
      </w:r>
      <w:r w:rsidR="00860B91" w:rsidRPr="003A6CF2">
        <w:rPr>
          <w:rFonts w:ascii="Century Gothic" w:hAnsi="Century Gothic"/>
          <w:sz w:val="22"/>
          <w:szCs w:val="22"/>
        </w:rPr>
        <w:t xml:space="preserve"> </w:t>
      </w:r>
      <w:r w:rsidR="003A6CF2" w:rsidRPr="003A6CF2">
        <w:rPr>
          <w:rFonts w:ascii="Century Gothic" w:hAnsi="Century Gothic"/>
          <w:sz w:val="22"/>
          <w:szCs w:val="22"/>
        </w:rPr>
        <w:t xml:space="preserve">Without appropriate guidance and advice from safeguarding professionals, birth mother made a judgement based on what would keep Child T safe in a bunk bed and what was available to her in terms of </w:t>
      </w:r>
      <w:r w:rsidR="003A6CF2">
        <w:rPr>
          <w:rFonts w:ascii="Century Gothic" w:hAnsi="Century Gothic"/>
          <w:sz w:val="22"/>
          <w:szCs w:val="22"/>
        </w:rPr>
        <w:t xml:space="preserve">bedroom furniture. </w:t>
      </w:r>
      <w:r w:rsidR="003A6CF2" w:rsidRPr="003A6CF2">
        <w:rPr>
          <w:rFonts w:ascii="Century Gothic" w:hAnsi="Century Gothic"/>
          <w:sz w:val="22"/>
          <w:szCs w:val="22"/>
        </w:rPr>
        <w:t xml:space="preserve"> </w:t>
      </w:r>
    </w:p>
    <w:p w14:paraId="06BE299C" w14:textId="6097AEE8" w:rsidR="0003705E" w:rsidRPr="003A6CF2" w:rsidRDefault="00A77ED7" w:rsidP="00E86BB4">
      <w:pPr>
        <w:pStyle w:val="ListParagraph"/>
        <w:numPr>
          <w:ilvl w:val="1"/>
          <w:numId w:val="10"/>
        </w:numPr>
        <w:spacing w:line="276" w:lineRule="auto"/>
        <w:jc w:val="both"/>
        <w:rPr>
          <w:rFonts w:ascii="Century Gothic" w:hAnsi="Century Gothic"/>
          <w:color w:val="333333"/>
          <w:sz w:val="22"/>
          <w:szCs w:val="22"/>
        </w:rPr>
      </w:pPr>
      <w:r w:rsidRPr="003A6CF2">
        <w:rPr>
          <w:rFonts w:ascii="Century Gothic" w:hAnsi="Century Gothic"/>
          <w:sz w:val="22"/>
          <w:szCs w:val="22"/>
        </w:rPr>
        <w:t xml:space="preserve">Given there were </w:t>
      </w:r>
      <w:r w:rsidR="00FA65F4" w:rsidRPr="003A6CF2">
        <w:rPr>
          <w:rFonts w:ascii="Century Gothic" w:hAnsi="Century Gothic"/>
          <w:sz w:val="22"/>
          <w:szCs w:val="22"/>
        </w:rPr>
        <w:t>indications of</w:t>
      </w:r>
      <w:r w:rsidRPr="003A6CF2">
        <w:rPr>
          <w:rFonts w:ascii="Century Gothic" w:hAnsi="Century Gothic"/>
          <w:sz w:val="22"/>
          <w:szCs w:val="22"/>
        </w:rPr>
        <w:t xml:space="preserve"> </w:t>
      </w:r>
      <w:r w:rsidR="00902959" w:rsidRPr="003A6CF2">
        <w:rPr>
          <w:rFonts w:ascii="Century Gothic" w:hAnsi="Century Gothic"/>
          <w:sz w:val="22"/>
          <w:szCs w:val="22"/>
        </w:rPr>
        <w:t xml:space="preserve">Child T having some </w:t>
      </w:r>
      <w:r w:rsidRPr="003A6CF2">
        <w:rPr>
          <w:rFonts w:ascii="Century Gothic" w:hAnsi="Century Gothic"/>
          <w:sz w:val="22"/>
          <w:szCs w:val="22"/>
        </w:rPr>
        <w:t>developmental delay</w:t>
      </w:r>
      <w:r w:rsidR="00500C82" w:rsidRPr="003A6CF2">
        <w:rPr>
          <w:rFonts w:ascii="Century Gothic" w:hAnsi="Century Gothic"/>
          <w:sz w:val="22"/>
          <w:szCs w:val="22"/>
        </w:rPr>
        <w:t xml:space="preserve">, </w:t>
      </w:r>
      <w:r w:rsidRPr="003A6CF2">
        <w:rPr>
          <w:rFonts w:ascii="Century Gothic" w:hAnsi="Century Gothic"/>
          <w:sz w:val="22"/>
          <w:szCs w:val="22"/>
        </w:rPr>
        <w:t xml:space="preserve">which remained unassessed </w:t>
      </w:r>
      <w:r w:rsidR="003A6CF2">
        <w:rPr>
          <w:rFonts w:ascii="Century Gothic" w:hAnsi="Century Gothic"/>
          <w:sz w:val="22"/>
          <w:szCs w:val="22"/>
        </w:rPr>
        <w:t xml:space="preserve">until </w:t>
      </w:r>
      <w:r w:rsidRPr="003A6CF2">
        <w:rPr>
          <w:rFonts w:ascii="Century Gothic" w:hAnsi="Century Gothic"/>
          <w:sz w:val="22"/>
          <w:szCs w:val="22"/>
        </w:rPr>
        <w:t>February 2020</w:t>
      </w:r>
      <w:r w:rsidR="003A6CF2">
        <w:rPr>
          <w:rFonts w:ascii="Century Gothic" w:hAnsi="Century Gothic"/>
          <w:sz w:val="22"/>
          <w:szCs w:val="22"/>
        </w:rPr>
        <w:t xml:space="preserve">, this </w:t>
      </w:r>
      <w:r w:rsidR="000938F6" w:rsidRPr="003A6CF2">
        <w:rPr>
          <w:rFonts w:ascii="Century Gothic" w:hAnsi="Century Gothic"/>
          <w:sz w:val="22"/>
          <w:szCs w:val="22"/>
        </w:rPr>
        <w:t xml:space="preserve">sleeping arrangement may have been less safe </w:t>
      </w:r>
      <w:r w:rsidR="004E191F" w:rsidRPr="003A6CF2">
        <w:rPr>
          <w:rFonts w:ascii="Century Gothic" w:hAnsi="Century Gothic"/>
          <w:sz w:val="22"/>
          <w:szCs w:val="22"/>
        </w:rPr>
        <w:t xml:space="preserve">for Child T. </w:t>
      </w:r>
    </w:p>
    <w:p w14:paraId="0F9BE919" w14:textId="22873A19" w:rsidR="00E86BB4" w:rsidRPr="00E86BB4" w:rsidRDefault="00440694" w:rsidP="00E86BB4">
      <w:pPr>
        <w:pStyle w:val="ListParagraph"/>
        <w:numPr>
          <w:ilvl w:val="1"/>
          <w:numId w:val="10"/>
        </w:numPr>
        <w:spacing w:line="276" w:lineRule="auto"/>
        <w:jc w:val="both"/>
        <w:rPr>
          <w:rFonts w:ascii="Century Gothic" w:hAnsi="Century Gothic"/>
          <w:color w:val="333333"/>
          <w:sz w:val="22"/>
          <w:szCs w:val="22"/>
        </w:rPr>
      </w:pPr>
      <w:r w:rsidRPr="0003705E">
        <w:rPr>
          <w:rFonts w:ascii="Century Gothic" w:hAnsi="Century Gothic"/>
          <w:sz w:val="22"/>
          <w:szCs w:val="22"/>
        </w:rPr>
        <w:t xml:space="preserve">No professional </w:t>
      </w:r>
      <w:r w:rsidR="003833DE" w:rsidRPr="0003705E">
        <w:rPr>
          <w:rFonts w:ascii="Century Gothic" w:hAnsi="Century Gothic"/>
          <w:sz w:val="22"/>
          <w:szCs w:val="22"/>
        </w:rPr>
        <w:t xml:space="preserve">or agency </w:t>
      </w:r>
      <w:r w:rsidRPr="0003705E">
        <w:rPr>
          <w:rFonts w:ascii="Century Gothic" w:hAnsi="Century Gothic"/>
          <w:sz w:val="22"/>
          <w:szCs w:val="22"/>
        </w:rPr>
        <w:t>entered the accommodation in local authority 5</w:t>
      </w:r>
      <w:r w:rsidR="00120E69">
        <w:rPr>
          <w:rFonts w:ascii="Century Gothic" w:hAnsi="Century Gothic"/>
          <w:sz w:val="22"/>
          <w:szCs w:val="22"/>
        </w:rPr>
        <w:t xml:space="preserve"> owing to COVID-</w:t>
      </w:r>
      <w:r w:rsidR="003A6CF2">
        <w:rPr>
          <w:rFonts w:ascii="Century Gothic" w:hAnsi="Century Gothic"/>
          <w:sz w:val="22"/>
          <w:szCs w:val="22"/>
        </w:rPr>
        <w:t xml:space="preserve">19 restrictions and therefore no advice was given to birth mother as the </w:t>
      </w:r>
      <w:r w:rsidR="00EE4445" w:rsidRPr="0003705E">
        <w:rPr>
          <w:rFonts w:ascii="Century Gothic" w:hAnsi="Century Gothic"/>
          <w:sz w:val="22"/>
          <w:szCs w:val="22"/>
        </w:rPr>
        <w:t xml:space="preserve">suitability </w:t>
      </w:r>
      <w:r w:rsidRPr="0003705E">
        <w:rPr>
          <w:rFonts w:ascii="Century Gothic" w:hAnsi="Century Gothic"/>
          <w:sz w:val="22"/>
          <w:szCs w:val="22"/>
        </w:rPr>
        <w:t>of the sleeping arrangements for 2 very young children</w:t>
      </w:r>
      <w:r w:rsidR="003A6CF2">
        <w:rPr>
          <w:rFonts w:ascii="Century Gothic" w:hAnsi="Century Gothic"/>
          <w:sz w:val="22"/>
          <w:szCs w:val="22"/>
        </w:rPr>
        <w:t>.</w:t>
      </w:r>
      <w:r w:rsidR="00B40266">
        <w:rPr>
          <w:rFonts w:ascii="Century Gothic" w:hAnsi="Century Gothic"/>
          <w:sz w:val="22"/>
          <w:szCs w:val="22"/>
        </w:rPr>
        <w:t xml:space="preserve"> Birth mother was managing on what was provided</w:t>
      </w:r>
      <w:r w:rsidR="00142B66">
        <w:rPr>
          <w:rFonts w:ascii="Century Gothic" w:hAnsi="Century Gothic"/>
          <w:sz w:val="22"/>
          <w:szCs w:val="22"/>
        </w:rPr>
        <w:t xml:space="preserve">. </w:t>
      </w:r>
      <w:r w:rsidR="00B40266">
        <w:rPr>
          <w:rFonts w:ascii="Century Gothic" w:hAnsi="Century Gothic"/>
          <w:sz w:val="22"/>
          <w:szCs w:val="22"/>
        </w:rPr>
        <w:t xml:space="preserve"> </w:t>
      </w:r>
    </w:p>
    <w:p w14:paraId="50892F83" w14:textId="5D961A40" w:rsidR="006277DB" w:rsidRPr="0003705E" w:rsidRDefault="00E86BB4" w:rsidP="00E86BB4">
      <w:pPr>
        <w:pStyle w:val="ListParagraph"/>
        <w:numPr>
          <w:ilvl w:val="1"/>
          <w:numId w:val="10"/>
        </w:numPr>
        <w:spacing w:line="276" w:lineRule="auto"/>
        <w:jc w:val="both"/>
        <w:rPr>
          <w:rFonts w:ascii="Century Gothic" w:hAnsi="Century Gothic"/>
          <w:color w:val="333333"/>
          <w:sz w:val="22"/>
          <w:szCs w:val="22"/>
        </w:rPr>
      </w:pPr>
      <w:r>
        <w:rPr>
          <w:rFonts w:ascii="Century Gothic" w:hAnsi="Century Gothic"/>
          <w:sz w:val="22"/>
          <w:szCs w:val="22"/>
        </w:rPr>
        <w:t>T</w:t>
      </w:r>
      <w:r w:rsidR="00EA62ED" w:rsidRPr="0003705E">
        <w:rPr>
          <w:rFonts w:ascii="Century Gothic" w:hAnsi="Century Gothic"/>
          <w:sz w:val="22"/>
          <w:szCs w:val="22"/>
        </w:rPr>
        <w:t xml:space="preserve">he housing officer and the estate agent resolved issues regarding the condition of the flat and </w:t>
      </w:r>
      <w:r w:rsidR="0003705E" w:rsidRPr="0003705E">
        <w:rPr>
          <w:rFonts w:ascii="Century Gothic" w:hAnsi="Century Gothic"/>
          <w:sz w:val="22"/>
          <w:szCs w:val="22"/>
        </w:rPr>
        <w:t>some physical</w:t>
      </w:r>
      <w:r w:rsidR="00914B19" w:rsidRPr="0003705E">
        <w:rPr>
          <w:rFonts w:ascii="Century Gothic" w:hAnsi="Century Gothic"/>
          <w:sz w:val="22"/>
          <w:szCs w:val="22"/>
        </w:rPr>
        <w:t xml:space="preserve"> </w:t>
      </w:r>
      <w:r w:rsidR="00EA62ED" w:rsidRPr="0003705E">
        <w:rPr>
          <w:rFonts w:ascii="Century Gothic" w:hAnsi="Century Gothic"/>
          <w:sz w:val="22"/>
          <w:szCs w:val="22"/>
        </w:rPr>
        <w:t>repairs were made</w:t>
      </w:r>
      <w:r>
        <w:rPr>
          <w:rFonts w:ascii="Century Gothic" w:hAnsi="Century Gothic"/>
          <w:sz w:val="22"/>
          <w:szCs w:val="22"/>
        </w:rPr>
        <w:t>. Whilst landlords have responsibilities to ensure that furniture provided meets the legal standards of flame resistance, it is not the role of housing officers</w:t>
      </w:r>
      <w:r w:rsidR="0056432D">
        <w:rPr>
          <w:rFonts w:ascii="Century Gothic" w:hAnsi="Century Gothic"/>
          <w:sz w:val="22"/>
          <w:szCs w:val="22"/>
        </w:rPr>
        <w:t>, landlords</w:t>
      </w:r>
      <w:r>
        <w:rPr>
          <w:rFonts w:ascii="Century Gothic" w:hAnsi="Century Gothic"/>
          <w:sz w:val="22"/>
          <w:szCs w:val="22"/>
        </w:rPr>
        <w:t xml:space="preserve"> or estate agents to consider the suitability of the </w:t>
      </w:r>
      <w:r w:rsidR="00142B66">
        <w:rPr>
          <w:rFonts w:ascii="Century Gothic" w:hAnsi="Century Gothic"/>
          <w:sz w:val="22"/>
          <w:szCs w:val="22"/>
        </w:rPr>
        <w:t xml:space="preserve">accommodation or </w:t>
      </w:r>
      <w:r>
        <w:rPr>
          <w:rFonts w:ascii="Century Gothic" w:hAnsi="Century Gothic"/>
          <w:sz w:val="22"/>
          <w:szCs w:val="22"/>
        </w:rPr>
        <w:t xml:space="preserve">furniture provided for families </w:t>
      </w:r>
      <w:r w:rsidR="0056432D">
        <w:rPr>
          <w:rFonts w:ascii="Century Gothic" w:hAnsi="Century Gothic"/>
          <w:sz w:val="22"/>
          <w:szCs w:val="22"/>
        </w:rPr>
        <w:t xml:space="preserve">with </w:t>
      </w:r>
      <w:r>
        <w:rPr>
          <w:rFonts w:ascii="Century Gothic" w:hAnsi="Century Gothic"/>
          <w:sz w:val="22"/>
          <w:szCs w:val="22"/>
        </w:rPr>
        <w:t xml:space="preserve">young children. This </w:t>
      </w:r>
      <w:r w:rsidR="00091960">
        <w:rPr>
          <w:rFonts w:ascii="Century Gothic" w:hAnsi="Century Gothic"/>
          <w:sz w:val="22"/>
          <w:szCs w:val="22"/>
        </w:rPr>
        <w:t xml:space="preserve">is </w:t>
      </w:r>
      <w:r>
        <w:rPr>
          <w:rFonts w:ascii="Century Gothic" w:hAnsi="Century Gothic"/>
          <w:sz w:val="22"/>
          <w:szCs w:val="22"/>
        </w:rPr>
        <w:t xml:space="preserve">a wider safeguarding issue that housing authorities may need to consider as part of their assessment of suitability.  </w:t>
      </w:r>
      <w:r w:rsidR="00091960">
        <w:rPr>
          <w:rFonts w:ascii="Century Gothic" w:hAnsi="Century Gothic"/>
          <w:sz w:val="22"/>
          <w:szCs w:val="22"/>
        </w:rPr>
        <w:t>T</w:t>
      </w:r>
      <w:r>
        <w:rPr>
          <w:rFonts w:ascii="Century Gothic" w:hAnsi="Century Gothic"/>
          <w:sz w:val="22"/>
          <w:szCs w:val="22"/>
        </w:rPr>
        <w:t xml:space="preserve">enants do have to take personal </w:t>
      </w:r>
      <w:r w:rsidR="00316E33">
        <w:rPr>
          <w:rFonts w:ascii="Century Gothic" w:hAnsi="Century Gothic"/>
          <w:sz w:val="22"/>
          <w:szCs w:val="22"/>
        </w:rPr>
        <w:t>responsibility,</w:t>
      </w:r>
      <w:r>
        <w:rPr>
          <w:rFonts w:ascii="Century Gothic" w:hAnsi="Century Gothic"/>
          <w:sz w:val="22"/>
          <w:szCs w:val="22"/>
        </w:rPr>
        <w:t xml:space="preserve"> </w:t>
      </w:r>
      <w:r w:rsidR="00091960">
        <w:rPr>
          <w:rFonts w:ascii="Century Gothic" w:hAnsi="Century Gothic"/>
          <w:sz w:val="22"/>
          <w:szCs w:val="22"/>
        </w:rPr>
        <w:t xml:space="preserve">but it is not </w:t>
      </w:r>
      <w:r>
        <w:rPr>
          <w:rFonts w:ascii="Century Gothic" w:hAnsi="Century Gothic"/>
          <w:sz w:val="22"/>
          <w:szCs w:val="22"/>
        </w:rPr>
        <w:t>unreasonable</w:t>
      </w:r>
      <w:r w:rsidR="00091960">
        <w:rPr>
          <w:rFonts w:ascii="Century Gothic" w:hAnsi="Century Gothic"/>
          <w:sz w:val="22"/>
          <w:szCs w:val="22"/>
        </w:rPr>
        <w:t xml:space="preserve"> for a risk assessment to be undertaken given these circumstances. </w:t>
      </w:r>
    </w:p>
    <w:p w14:paraId="547A9B5F" w14:textId="09BE640D" w:rsidR="00B40266" w:rsidRPr="00B40266" w:rsidRDefault="00440694" w:rsidP="00536B74">
      <w:pPr>
        <w:pStyle w:val="ListParagraph"/>
        <w:numPr>
          <w:ilvl w:val="1"/>
          <w:numId w:val="10"/>
        </w:numPr>
        <w:spacing w:line="276" w:lineRule="auto"/>
        <w:jc w:val="both"/>
        <w:rPr>
          <w:rFonts w:ascii="Century Gothic" w:hAnsi="Century Gothic"/>
          <w:color w:val="333333"/>
          <w:sz w:val="22"/>
          <w:szCs w:val="22"/>
        </w:rPr>
      </w:pPr>
      <w:r w:rsidRPr="00F74E03">
        <w:rPr>
          <w:rFonts w:ascii="Century Gothic" w:hAnsi="Century Gothic"/>
          <w:sz w:val="22"/>
          <w:szCs w:val="22"/>
        </w:rPr>
        <w:t xml:space="preserve">Whilst there is </w:t>
      </w:r>
      <w:r w:rsidR="00206D60" w:rsidRPr="00F74E03">
        <w:rPr>
          <w:rFonts w:ascii="Century Gothic" w:hAnsi="Century Gothic"/>
          <w:sz w:val="22"/>
          <w:szCs w:val="22"/>
        </w:rPr>
        <w:t>information provided to professionals on local authority child safeguarding partnership websites</w:t>
      </w:r>
      <w:r w:rsidR="00EA6BD5">
        <w:rPr>
          <w:rFonts w:ascii="Century Gothic" w:hAnsi="Century Gothic"/>
          <w:sz w:val="22"/>
          <w:szCs w:val="22"/>
        </w:rPr>
        <w:t xml:space="preserve"> regarding safer sleeping</w:t>
      </w:r>
      <w:r w:rsidR="00206D60" w:rsidRPr="00F74E03">
        <w:rPr>
          <w:rFonts w:ascii="Century Gothic" w:hAnsi="Century Gothic"/>
          <w:sz w:val="22"/>
          <w:szCs w:val="22"/>
        </w:rPr>
        <w:t xml:space="preserve">, this does not appear to ‘land’ with the wider network </w:t>
      </w:r>
      <w:r w:rsidR="003B73F6" w:rsidRPr="00F74E03">
        <w:rPr>
          <w:rFonts w:ascii="Century Gothic" w:hAnsi="Century Gothic"/>
          <w:sz w:val="22"/>
          <w:szCs w:val="22"/>
        </w:rPr>
        <w:t xml:space="preserve">and </w:t>
      </w:r>
      <w:r w:rsidR="00C94960">
        <w:rPr>
          <w:rFonts w:ascii="Century Gothic" w:hAnsi="Century Gothic"/>
          <w:sz w:val="22"/>
          <w:szCs w:val="22"/>
        </w:rPr>
        <w:t xml:space="preserve">appears to </w:t>
      </w:r>
      <w:r w:rsidR="00F735E0" w:rsidRPr="00F74E03">
        <w:rPr>
          <w:rFonts w:ascii="Century Gothic" w:hAnsi="Century Gothic"/>
          <w:sz w:val="22"/>
          <w:szCs w:val="22"/>
        </w:rPr>
        <w:t>remain</w:t>
      </w:r>
      <w:r w:rsidR="003B73F6" w:rsidRPr="00F74E03">
        <w:rPr>
          <w:rFonts w:ascii="Century Gothic" w:hAnsi="Century Gothic"/>
          <w:sz w:val="22"/>
          <w:szCs w:val="22"/>
        </w:rPr>
        <w:t xml:space="preserve"> </w:t>
      </w:r>
      <w:r w:rsidR="00206D60" w:rsidRPr="00F74E03">
        <w:rPr>
          <w:rFonts w:ascii="Century Gothic" w:hAnsi="Century Gothic"/>
          <w:sz w:val="22"/>
          <w:szCs w:val="22"/>
        </w:rPr>
        <w:t>the responsibilit</w:t>
      </w:r>
      <w:r w:rsidR="00F735E0" w:rsidRPr="00F74E03">
        <w:rPr>
          <w:rFonts w:ascii="Century Gothic" w:hAnsi="Century Gothic"/>
          <w:sz w:val="22"/>
          <w:szCs w:val="22"/>
        </w:rPr>
        <w:t>y</w:t>
      </w:r>
      <w:r w:rsidR="003B73F6" w:rsidRPr="00F74E03">
        <w:rPr>
          <w:rFonts w:ascii="Century Gothic" w:hAnsi="Century Gothic"/>
          <w:sz w:val="22"/>
          <w:szCs w:val="22"/>
        </w:rPr>
        <w:t xml:space="preserve"> </w:t>
      </w:r>
      <w:r w:rsidR="00F735E0" w:rsidRPr="00F74E03">
        <w:rPr>
          <w:rFonts w:ascii="Century Gothic" w:hAnsi="Century Gothic"/>
          <w:sz w:val="22"/>
          <w:szCs w:val="22"/>
        </w:rPr>
        <w:t xml:space="preserve">of </w:t>
      </w:r>
      <w:r w:rsidR="00206D60" w:rsidRPr="00F74E03">
        <w:rPr>
          <w:rFonts w:ascii="Century Gothic" w:hAnsi="Century Gothic"/>
          <w:sz w:val="22"/>
          <w:szCs w:val="22"/>
        </w:rPr>
        <w:t xml:space="preserve">health practitioners. </w:t>
      </w:r>
    </w:p>
    <w:p w14:paraId="6594654A" w14:textId="7221AF9A" w:rsidR="00B40266" w:rsidRPr="00F74E03" w:rsidRDefault="00142B66" w:rsidP="00B40266">
      <w:pPr>
        <w:pStyle w:val="ListParagraph"/>
        <w:numPr>
          <w:ilvl w:val="1"/>
          <w:numId w:val="10"/>
        </w:numPr>
        <w:spacing w:line="276" w:lineRule="auto"/>
        <w:jc w:val="both"/>
        <w:rPr>
          <w:rFonts w:ascii="Century Gothic" w:hAnsi="Century Gothic"/>
          <w:color w:val="333333"/>
          <w:sz w:val="22"/>
          <w:szCs w:val="22"/>
        </w:rPr>
      </w:pPr>
      <w:r>
        <w:rPr>
          <w:rFonts w:ascii="Century Gothic" w:hAnsi="Century Gothic"/>
          <w:sz w:val="22"/>
          <w:szCs w:val="22"/>
        </w:rPr>
        <w:t xml:space="preserve">Whilst local authority 5 have published a ‘Safe Baby Toolkit’ it makes no reference to the safe use of bed guards. </w:t>
      </w:r>
      <w:r w:rsidR="00B40266">
        <w:rPr>
          <w:rFonts w:ascii="Century Gothic" w:hAnsi="Century Gothic"/>
          <w:sz w:val="22"/>
          <w:szCs w:val="22"/>
        </w:rPr>
        <w:t>There is a need to</w:t>
      </w:r>
      <w:r w:rsidR="00B40266" w:rsidRPr="00F74E03">
        <w:rPr>
          <w:rFonts w:ascii="Century Gothic" w:hAnsi="Century Gothic"/>
          <w:sz w:val="22"/>
          <w:szCs w:val="22"/>
        </w:rPr>
        <w:t xml:space="preserve"> ensure there is </w:t>
      </w:r>
      <w:r w:rsidR="00B40266" w:rsidRPr="00F74E03">
        <w:rPr>
          <w:rFonts w:ascii="Century Gothic" w:hAnsi="Century Gothic"/>
          <w:sz w:val="22"/>
          <w:szCs w:val="22"/>
        </w:rPr>
        <w:lastRenderedPageBreak/>
        <w:t>a public health message that touches a wider audience. This view is reflected in the recently published review of sudden unexpected death in infancy report published by the Child Safeguarding Practice Review Panel</w:t>
      </w:r>
      <w:r w:rsidR="00B40266" w:rsidRPr="00FF6C76">
        <w:rPr>
          <w:rStyle w:val="FootnoteReference"/>
          <w:rFonts w:ascii="Century Gothic" w:hAnsi="Century Gothic"/>
          <w:sz w:val="22"/>
          <w:szCs w:val="22"/>
        </w:rPr>
        <w:footnoteReference w:id="11"/>
      </w:r>
      <w:r w:rsidR="00B40266" w:rsidRPr="00F74E03">
        <w:rPr>
          <w:rFonts w:ascii="Century Gothic" w:hAnsi="Century Gothic"/>
          <w:sz w:val="22"/>
          <w:szCs w:val="22"/>
        </w:rPr>
        <w:t>. “We believe that practitioners in all agencies who are working with families with children at risk need to develop a clearer evidence-informed understanding of parental decision-making in relation to the sleep environment and how this might be changed”.</w:t>
      </w:r>
    </w:p>
    <w:p w14:paraId="042FD5A4" w14:textId="66CF88CF" w:rsidR="00F74E03" w:rsidRPr="00F74E03" w:rsidRDefault="00826862" w:rsidP="00536B74">
      <w:pPr>
        <w:pStyle w:val="ListParagraph"/>
        <w:numPr>
          <w:ilvl w:val="1"/>
          <w:numId w:val="10"/>
        </w:numPr>
        <w:spacing w:line="276" w:lineRule="auto"/>
        <w:jc w:val="both"/>
        <w:rPr>
          <w:rFonts w:ascii="Century Gothic" w:hAnsi="Century Gothic"/>
          <w:sz w:val="22"/>
          <w:szCs w:val="22"/>
        </w:rPr>
      </w:pPr>
      <w:r w:rsidRPr="00F74E03">
        <w:rPr>
          <w:rFonts w:ascii="Century Gothic" w:hAnsi="Century Gothic"/>
          <w:sz w:val="22"/>
          <w:szCs w:val="22"/>
        </w:rPr>
        <w:t>The report goes on to state that “</w:t>
      </w:r>
      <w:r w:rsidRPr="00F74E03">
        <w:rPr>
          <w:rFonts w:ascii="Century Gothic" w:hAnsi="Century Gothic"/>
          <w:color w:val="333333"/>
          <w:sz w:val="22"/>
          <w:szCs w:val="22"/>
        </w:rPr>
        <w:t xml:space="preserve">It’s important that we give all families information about safe sleeping, but for some families who are struggling with multiple issues the existing information is simply not enough. This is not about blaming parents who have suffered such tragedies. This is a societal </w:t>
      </w:r>
      <w:r w:rsidR="00B40266" w:rsidRPr="00F74E03">
        <w:rPr>
          <w:rFonts w:ascii="Century Gothic" w:hAnsi="Century Gothic"/>
          <w:color w:val="333333"/>
          <w:sz w:val="22"/>
          <w:szCs w:val="22"/>
        </w:rPr>
        <w:t>issue,</w:t>
      </w:r>
      <w:r w:rsidRPr="00F74E03">
        <w:rPr>
          <w:rFonts w:ascii="Century Gothic" w:hAnsi="Century Gothic"/>
          <w:color w:val="333333"/>
          <w:sz w:val="22"/>
          <w:szCs w:val="22"/>
        </w:rPr>
        <w:t xml:space="preserve"> and we need to listen to and talk with families realistically and honestly so we can make sure that their babies sleep safely all the time.”</w:t>
      </w:r>
    </w:p>
    <w:p w14:paraId="3991B1C5" w14:textId="371640CC" w:rsidR="0074032F" w:rsidRDefault="00F76FA8" w:rsidP="00536B74">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 xml:space="preserve">The report also suggests that children’s changing circumstances </w:t>
      </w:r>
      <w:r w:rsidR="003C3C7B">
        <w:rPr>
          <w:rFonts w:ascii="Century Gothic" w:hAnsi="Century Gothic"/>
          <w:sz w:val="22"/>
          <w:szCs w:val="22"/>
        </w:rPr>
        <w:t xml:space="preserve">became </w:t>
      </w:r>
      <w:r w:rsidRPr="0074032F">
        <w:rPr>
          <w:rFonts w:ascii="Century Gothic" w:hAnsi="Century Gothic"/>
          <w:sz w:val="22"/>
          <w:szCs w:val="22"/>
        </w:rPr>
        <w:t>a risk factor</w:t>
      </w:r>
      <w:r w:rsidR="00460C3A">
        <w:rPr>
          <w:rFonts w:ascii="Century Gothic" w:hAnsi="Century Gothic"/>
          <w:sz w:val="22"/>
          <w:szCs w:val="22"/>
        </w:rPr>
        <w:t>,</w:t>
      </w:r>
      <w:r w:rsidRPr="0074032F">
        <w:rPr>
          <w:rFonts w:ascii="Century Gothic" w:hAnsi="Century Gothic"/>
          <w:sz w:val="22"/>
          <w:szCs w:val="22"/>
        </w:rPr>
        <w:t xml:space="preserve"> in that routine infant sleeping arrangements were disrupted. </w:t>
      </w:r>
      <w:r w:rsidR="00323790" w:rsidRPr="0074032F">
        <w:rPr>
          <w:rFonts w:ascii="Century Gothic" w:hAnsi="Century Gothic"/>
          <w:sz w:val="22"/>
          <w:szCs w:val="22"/>
        </w:rPr>
        <w:t>It is argued that the extent to which sudden infant death syndrome in out-of-routine circumstances, is not predictable, it can nevertheless be made more preventable.</w:t>
      </w:r>
    </w:p>
    <w:p w14:paraId="06AC6524" w14:textId="146B394C" w:rsidR="00B40266" w:rsidRPr="00B40266" w:rsidRDefault="00B40266" w:rsidP="00B40266">
      <w:pPr>
        <w:pStyle w:val="ListParagraph"/>
        <w:numPr>
          <w:ilvl w:val="1"/>
          <w:numId w:val="10"/>
        </w:numPr>
        <w:spacing w:line="276" w:lineRule="auto"/>
        <w:jc w:val="both"/>
        <w:rPr>
          <w:rFonts w:ascii="Century Gothic" w:hAnsi="Century Gothic"/>
          <w:color w:val="333333"/>
          <w:sz w:val="22"/>
          <w:szCs w:val="22"/>
        </w:rPr>
      </w:pPr>
      <w:r>
        <w:rPr>
          <w:rFonts w:ascii="Century Gothic" w:hAnsi="Century Gothic"/>
          <w:sz w:val="22"/>
          <w:szCs w:val="22"/>
        </w:rPr>
        <w:t>Rightly, co-sleeping has been the focus of safer sleeping messages, but this should now be extended to the safe use of bed guards.</w:t>
      </w:r>
    </w:p>
    <w:p w14:paraId="2D66DF94" w14:textId="0624C236" w:rsidR="006D7437" w:rsidRDefault="006D7437" w:rsidP="006D7437">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There is no indication that the second-hand bedroom furniture was a causal factor in Child T’s death. There are studies that suggest that second-hand mattresses are indicative of an increased likelihood of sudden infant death</w:t>
      </w:r>
      <w:r w:rsidRPr="00FF6C76">
        <w:rPr>
          <w:rStyle w:val="FootnoteReference"/>
          <w:rFonts w:ascii="Century Gothic" w:hAnsi="Century Gothic"/>
          <w:sz w:val="22"/>
          <w:szCs w:val="22"/>
        </w:rPr>
        <w:footnoteReference w:id="12"/>
      </w:r>
      <w:r w:rsidRPr="0074032F">
        <w:rPr>
          <w:rFonts w:ascii="Century Gothic" w:hAnsi="Century Gothic"/>
          <w:sz w:val="22"/>
          <w:szCs w:val="22"/>
        </w:rPr>
        <w:t xml:space="preserve"> yet more significantly, is the use of the bed guard. Whilst modern cots conform to British Safety Standards negating the need for cot bumpers, this is not the case for children’s bed guards. </w:t>
      </w:r>
      <w:r w:rsidRPr="0074032F">
        <w:rPr>
          <w:rFonts w:ascii="Century Gothic" w:hAnsi="Century Gothic"/>
          <w:sz w:val="22"/>
          <w:szCs w:val="22"/>
          <w:lang w:val="en"/>
        </w:rPr>
        <w:t>There are no British Safety Standards specifically for bed</w:t>
      </w:r>
      <w:r w:rsidR="00142B66">
        <w:rPr>
          <w:rFonts w:ascii="Century Gothic" w:hAnsi="Century Gothic"/>
          <w:sz w:val="22"/>
          <w:szCs w:val="22"/>
          <w:lang w:val="en"/>
        </w:rPr>
        <w:t xml:space="preserve"> guards</w:t>
      </w:r>
      <w:r w:rsidRPr="0074032F">
        <w:rPr>
          <w:rFonts w:ascii="Century Gothic" w:hAnsi="Century Gothic"/>
          <w:sz w:val="22"/>
          <w:szCs w:val="22"/>
          <w:lang w:val="en"/>
        </w:rPr>
        <w:t xml:space="preserve"> for children</w:t>
      </w:r>
      <w:r w:rsidR="00142B66">
        <w:rPr>
          <w:rFonts w:ascii="Century Gothic" w:hAnsi="Century Gothic"/>
          <w:sz w:val="22"/>
          <w:szCs w:val="22"/>
          <w:lang w:val="en"/>
        </w:rPr>
        <w:t xml:space="preserve"> but there is reference in the Health and Safety Executive (HSE) about the safe use of bed rails</w:t>
      </w:r>
      <w:r w:rsidR="00142B66">
        <w:rPr>
          <w:rStyle w:val="FootnoteReference"/>
          <w:rFonts w:ascii="Century Gothic" w:hAnsi="Century Gothic"/>
          <w:sz w:val="22"/>
          <w:szCs w:val="22"/>
          <w:lang w:val="en"/>
        </w:rPr>
        <w:footnoteReference w:id="13"/>
      </w:r>
      <w:r w:rsidRPr="0074032F">
        <w:rPr>
          <w:rFonts w:ascii="Century Gothic" w:hAnsi="Century Gothic"/>
          <w:sz w:val="22"/>
          <w:szCs w:val="22"/>
          <w:lang w:val="en"/>
        </w:rPr>
        <w:t xml:space="preserve">. </w:t>
      </w:r>
      <w:r w:rsidRPr="0074032F">
        <w:rPr>
          <w:rFonts w:ascii="Century Gothic" w:hAnsi="Century Gothic"/>
          <w:sz w:val="22"/>
          <w:szCs w:val="22"/>
        </w:rPr>
        <w:t xml:space="preserve">Poorly fitting mattresses and bed guards have led to </w:t>
      </w:r>
      <w:r w:rsidR="0056432D">
        <w:rPr>
          <w:rFonts w:ascii="Century Gothic" w:hAnsi="Century Gothic"/>
          <w:sz w:val="22"/>
          <w:szCs w:val="22"/>
        </w:rPr>
        <w:t xml:space="preserve">mobile babies and </w:t>
      </w:r>
      <w:r w:rsidRPr="0074032F">
        <w:rPr>
          <w:rFonts w:ascii="Century Gothic" w:hAnsi="Century Gothic"/>
          <w:sz w:val="22"/>
          <w:szCs w:val="22"/>
        </w:rPr>
        <w:t xml:space="preserve">young children trapping themselves between the mattress and the bed guard. In normal circumstances, the manufacturer’s instructions contain information on the dimensions and other characteristics, to reduce the risk of possible entrapment. They also contain information on the compatibility with other equipment and whether they are suitable for </w:t>
      </w:r>
      <w:r w:rsidR="0056432D">
        <w:rPr>
          <w:rFonts w:ascii="Century Gothic" w:hAnsi="Century Gothic"/>
          <w:sz w:val="22"/>
          <w:szCs w:val="22"/>
        </w:rPr>
        <w:t xml:space="preserve">babies and </w:t>
      </w:r>
      <w:r w:rsidRPr="0074032F">
        <w:rPr>
          <w:rFonts w:ascii="Century Gothic" w:hAnsi="Century Gothic"/>
          <w:sz w:val="22"/>
          <w:szCs w:val="22"/>
        </w:rPr>
        <w:t xml:space="preserve">children. </w:t>
      </w:r>
    </w:p>
    <w:p w14:paraId="5E9C0F40" w14:textId="77777777" w:rsidR="006D7437" w:rsidRDefault="006D7437" w:rsidP="006D7437">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Th</w:t>
      </w:r>
      <w:r>
        <w:rPr>
          <w:rFonts w:ascii="Century Gothic" w:hAnsi="Century Gothic"/>
          <w:sz w:val="22"/>
          <w:szCs w:val="22"/>
        </w:rPr>
        <w:t>e</w:t>
      </w:r>
      <w:r w:rsidRPr="0074032F">
        <w:rPr>
          <w:rFonts w:ascii="Century Gothic" w:hAnsi="Century Gothic"/>
          <w:sz w:val="22"/>
          <w:szCs w:val="22"/>
        </w:rPr>
        <w:t xml:space="preserve"> evidence points to agencies avoiding the use of second-hand bed guards without the necessary instructions for use</w:t>
      </w:r>
      <w:r>
        <w:rPr>
          <w:rFonts w:ascii="Century Gothic" w:hAnsi="Century Gothic"/>
          <w:sz w:val="22"/>
          <w:szCs w:val="22"/>
        </w:rPr>
        <w:t>.</w:t>
      </w:r>
      <w:r w:rsidRPr="0074032F">
        <w:rPr>
          <w:rFonts w:ascii="Century Gothic" w:hAnsi="Century Gothic"/>
          <w:sz w:val="22"/>
          <w:szCs w:val="22"/>
        </w:rPr>
        <w:t xml:space="preserve"> Whilst this is parental choice, agencies providing such equipment through a volunteer or statutory sector agency, should consider the risks and the child’s sleeping </w:t>
      </w:r>
      <w:r w:rsidRPr="0074032F">
        <w:rPr>
          <w:rFonts w:ascii="Century Gothic" w:hAnsi="Century Gothic"/>
          <w:sz w:val="22"/>
          <w:szCs w:val="22"/>
        </w:rPr>
        <w:lastRenderedPageBreak/>
        <w:t xml:space="preserve">arrangements prior to providing such equipment, particularly if second hand. </w:t>
      </w:r>
    </w:p>
    <w:p w14:paraId="2489A204" w14:textId="78C32393" w:rsidR="0074032F" w:rsidRDefault="00F76FA8" w:rsidP="00536B74">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Whilst birth mother disputes the impact and significance of her own drug and alcohol use on the evening prior to Child T’s death</w:t>
      </w:r>
      <w:r w:rsidR="00826862" w:rsidRPr="0074032F">
        <w:rPr>
          <w:rFonts w:ascii="Century Gothic" w:hAnsi="Century Gothic"/>
          <w:sz w:val="22"/>
          <w:szCs w:val="22"/>
        </w:rPr>
        <w:t xml:space="preserve"> and whether this impaired her ability to care for the children, this is s</w:t>
      </w:r>
      <w:r w:rsidRPr="0074032F">
        <w:rPr>
          <w:rFonts w:ascii="Century Gothic" w:hAnsi="Century Gothic"/>
          <w:sz w:val="22"/>
          <w:szCs w:val="22"/>
        </w:rPr>
        <w:t>adly</w:t>
      </w:r>
      <w:r w:rsidR="00826862" w:rsidRPr="0074032F">
        <w:rPr>
          <w:rFonts w:ascii="Century Gothic" w:hAnsi="Century Gothic"/>
          <w:sz w:val="22"/>
          <w:szCs w:val="22"/>
        </w:rPr>
        <w:t xml:space="preserve"> reported in almost all sudden infant deaths reviewed in the report. </w:t>
      </w:r>
      <w:r w:rsidR="007D30A0">
        <w:rPr>
          <w:rFonts w:ascii="Century Gothic" w:hAnsi="Century Gothic"/>
          <w:sz w:val="22"/>
          <w:szCs w:val="22"/>
        </w:rPr>
        <w:t xml:space="preserve">The </w:t>
      </w:r>
      <w:r w:rsidR="00FB7F10">
        <w:rPr>
          <w:rFonts w:ascii="Century Gothic" w:hAnsi="Century Gothic"/>
          <w:sz w:val="22"/>
          <w:szCs w:val="22"/>
        </w:rPr>
        <w:t>post-mortem</w:t>
      </w:r>
      <w:r w:rsidR="007D30A0">
        <w:rPr>
          <w:rFonts w:ascii="Century Gothic" w:hAnsi="Century Gothic"/>
          <w:sz w:val="22"/>
          <w:szCs w:val="22"/>
        </w:rPr>
        <w:t xml:space="preserve"> report </w:t>
      </w:r>
      <w:r w:rsidR="00FB7F10">
        <w:rPr>
          <w:rFonts w:ascii="Century Gothic" w:hAnsi="Century Gothic"/>
          <w:sz w:val="22"/>
          <w:szCs w:val="22"/>
        </w:rPr>
        <w:t xml:space="preserve">and hair strand testing </w:t>
      </w:r>
      <w:r w:rsidR="007D30A0">
        <w:rPr>
          <w:rFonts w:ascii="Century Gothic" w:hAnsi="Century Gothic"/>
          <w:sz w:val="22"/>
          <w:szCs w:val="22"/>
        </w:rPr>
        <w:t>on Child T</w:t>
      </w:r>
      <w:r w:rsidR="0041014F">
        <w:rPr>
          <w:rFonts w:ascii="Century Gothic" w:hAnsi="Century Gothic"/>
          <w:sz w:val="22"/>
          <w:szCs w:val="22"/>
        </w:rPr>
        <w:t xml:space="preserve"> </w:t>
      </w:r>
      <w:r w:rsidR="007D30A0">
        <w:rPr>
          <w:rFonts w:ascii="Century Gothic" w:hAnsi="Century Gothic"/>
          <w:sz w:val="22"/>
          <w:szCs w:val="22"/>
        </w:rPr>
        <w:t xml:space="preserve">indicated she had been </w:t>
      </w:r>
      <w:r w:rsidR="00E05D27">
        <w:rPr>
          <w:rFonts w:ascii="Century Gothic" w:hAnsi="Century Gothic"/>
          <w:sz w:val="22"/>
          <w:szCs w:val="22"/>
        </w:rPr>
        <w:t xml:space="preserve">exposed to cannabis and cocaine but there was no causal link between this and her death. </w:t>
      </w:r>
      <w:r w:rsidR="00B142AD">
        <w:rPr>
          <w:rFonts w:ascii="Century Gothic" w:hAnsi="Century Gothic"/>
          <w:sz w:val="22"/>
          <w:szCs w:val="22"/>
        </w:rPr>
        <w:t>Birth mother denies this was a factor in Child T’s death but</w:t>
      </w:r>
      <w:r w:rsidR="006D7437">
        <w:rPr>
          <w:rFonts w:ascii="Century Gothic" w:hAnsi="Century Gothic"/>
          <w:sz w:val="22"/>
          <w:szCs w:val="22"/>
        </w:rPr>
        <w:t xml:space="preserve">, </w:t>
      </w:r>
      <w:r w:rsidR="005505AF">
        <w:rPr>
          <w:rFonts w:ascii="Century Gothic" w:hAnsi="Century Gothic"/>
          <w:sz w:val="22"/>
          <w:szCs w:val="22"/>
        </w:rPr>
        <w:t>the fact that drugs were found in toxicology reports on Child T suggests she was regularly exposed to</w:t>
      </w:r>
      <w:r w:rsidR="00D079FE">
        <w:rPr>
          <w:rFonts w:ascii="Century Gothic" w:hAnsi="Century Gothic"/>
          <w:sz w:val="22"/>
          <w:szCs w:val="22"/>
        </w:rPr>
        <w:t xml:space="preserve"> birth mother’s drug </w:t>
      </w:r>
      <w:r w:rsidR="00D079FE" w:rsidRPr="006D7437">
        <w:rPr>
          <w:rFonts w:ascii="Century Gothic" w:hAnsi="Century Gothic"/>
          <w:sz w:val="22"/>
          <w:szCs w:val="22"/>
        </w:rPr>
        <w:t>use</w:t>
      </w:r>
      <w:r w:rsidR="006D7437" w:rsidRPr="006D7437">
        <w:rPr>
          <w:rFonts w:ascii="Century Gothic" w:hAnsi="Century Gothic"/>
          <w:sz w:val="22"/>
          <w:szCs w:val="22"/>
        </w:rPr>
        <w:t xml:space="preserve"> </w:t>
      </w:r>
      <w:r w:rsidR="006D7437">
        <w:rPr>
          <w:rFonts w:ascii="Century Gothic" w:hAnsi="Century Gothic"/>
          <w:sz w:val="22"/>
          <w:szCs w:val="22"/>
        </w:rPr>
        <w:t>at some level</w:t>
      </w:r>
      <w:r w:rsidR="00D079FE" w:rsidRPr="006D7437">
        <w:rPr>
          <w:rFonts w:ascii="Century Gothic" w:hAnsi="Century Gothic"/>
          <w:sz w:val="22"/>
          <w:szCs w:val="22"/>
        </w:rPr>
        <w:t>.</w:t>
      </w:r>
      <w:r w:rsidR="00D079FE">
        <w:rPr>
          <w:rFonts w:ascii="Century Gothic" w:hAnsi="Century Gothic"/>
          <w:sz w:val="22"/>
          <w:szCs w:val="22"/>
        </w:rPr>
        <w:t xml:space="preserve"> </w:t>
      </w:r>
      <w:r w:rsidR="00D004A5">
        <w:rPr>
          <w:rFonts w:ascii="Century Gothic" w:hAnsi="Century Gothic"/>
          <w:sz w:val="22"/>
          <w:szCs w:val="22"/>
        </w:rPr>
        <w:t xml:space="preserve">Birth mother reported that she was able to care for the children </w:t>
      </w:r>
      <w:r w:rsidR="00823863">
        <w:rPr>
          <w:rFonts w:ascii="Century Gothic" w:hAnsi="Century Gothic"/>
          <w:sz w:val="22"/>
          <w:szCs w:val="22"/>
        </w:rPr>
        <w:t xml:space="preserve">safely despite her drug and alcohol use the night before Child T’s death. </w:t>
      </w:r>
    </w:p>
    <w:p w14:paraId="455061CD" w14:textId="77777777" w:rsidR="0074032F" w:rsidRPr="0074032F" w:rsidRDefault="0074032F" w:rsidP="0074032F">
      <w:pPr>
        <w:pStyle w:val="ListParagraph"/>
        <w:spacing w:line="276" w:lineRule="auto"/>
        <w:ind w:left="1080"/>
        <w:jc w:val="both"/>
        <w:rPr>
          <w:rFonts w:ascii="Century Gothic" w:hAnsi="Century Gothic"/>
          <w:sz w:val="22"/>
          <w:szCs w:val="22"/>
        </w:rPr>
      </w:pPr>
    </w:p>
    <w:p w14:paraId="1B23D0AA" w14:textId="5764A111" w:rsidR="00323790" w:rsidRDefault="00323790" w:rsidP="0074032F">
      <w:pPr>
        <w:pStyle w:val="ListParagraph"/>
        <w:numPr>
          <w:ilvl w:val="0"/>
          <w:numId w:val="10"/>
        </w:numPr>
        <w:spacing w:line="276" w:lineRule="auto"/>
        <w:jc w:val="both"/>
        <w:rPr>
          <w:rFonts w:ascii="Century Gothic" w:hAnsi="Century Gothic"/>
          <w:b/>
          <w:bCs/>
          <w:sz w:val="22"/>
          <w:szCs w:val="22"/>
        </w:rPr>
      </w:pPr>
      <w:r w:rsidRPr="0074032F">
        <w:rPr>
          <w:rFonts w:ascii="Century Gothic" w:hAnsi="Century Gothic"/>
          <w:b/>
          <w:bCs/>
          <w:sz w:val="22"/>
          <w:szCs w:val="22"/>
        </w:rPr>
        <w:t xml:space="preserve">Voluntary sector engagement with safeguarding partnerships </w:t>
      </w:r>
    </w:p>
    <w:p w14:paraId="4A83EE1B" w14:textId="77777777" w:rsidR="00715DC0" w:rsidRPr="0074032F" w:rsidRDefault="00715DC0" w:rsidP="00715DC0">
      <w:pPr>
        <w:pStyle w:val="ListParagraph"/>
        <w:spacing w:line="276" w:lineRule="auto"/>
        <w:jc w:val="both"/>
        <w:rPr>
          <w:rFonts w:ascii="Century Gothic" w:hAnsi="Century Gothic"/>
          <w:b/>
          <w:bCs/>
          <w:sz w:val="22"/>
          <w:szCs w:val="22"/>
        </w:rPr>
      </w:pPr>
    </w:p>
    <w:p w14:paraId="436AEEFF" w14:textId="24814943" w:rsidR="0074032F" w:rsidRDefault="00323790" w:rsidP="00536B74">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What became evident through this review, was the lack of engagement and relationship with the voluntary sector agencies involved with Child T and her family and the statutory safeguarding partners. It was concerning that there was no contact between these agencies despite the history of the children.</w:t>
      </w:r>
      <w:r w:rsidR="006F5279" w:rsidRPr="0074032F">
        <w:rPr>
          <w:rFonts w:ascii="Century Gothic" w:hAnsi="Century Gothic"/>
          <w:sz w:val="22"/>
          <w:szCs w:val="22"/>
        </w:rPr>
        <w:t xml:space="preserve"> Increasingly, the voluntary sector is taking responsibility for families and providing support where previously this would have been the role of statutory services. In this case, the children had suffered significant harm in the care of their birth mother previously and birth mother was fleeing domestic abuse. The children’s presentation did raise worry and concern to the agencies working with the family. However, these children were managed via a universal health offer and </w:t>
      </w:r>
      <w:r w:rsidR="00CA27FD" w:rsidRPr="0074032F">
        <w:rPr>
          <w:rFonts w:ascii="Century Gothic" w:hAnsi="Century Gothic"/>
          <w:sz w:val="22"/>
          <w:szCs w:val="22"/>
        </w:rPr>
        <w:t>several</w:t>
      </w:r>
      <w:r w:rsidR="006F5279" w:rsidRPr="0074032F">
        <w:rPr>
          <w:rFonts w:ascii="Century Gothic" w:hAnsi="Century Gothic"/>
          <w:sz w:val="22"/>
          <w:szCs w:val="22"/>
        </w:rPr>
        <w:t xml:space="preserve"> referrals to voluntary sector agencies. Whilst it is vital to have a mixed economy of available support to families, this </w:t>
      </w:r>
      <w:r w:rsidR="00CA27FD" w:rsidRPr="0074032F">
        <w:rPr>
          <w:rFonts w:ascii="Century Gothic" w:hAnsi="Century Gothic"/>
          <w:sz w:val="22"/>
          <w:szCs w:val="22"/>
        </w:rPr>
        <w:t>must</w:t>
      </w:r>
      <w:r w:rsidR="006F5279" w:rsidRPr="0074032F">
        <w:rPr>
          <w:rFonts w:ascii="Century Gothic" w:hAnsi="Century Gothic"/>
          <w:sz w:val="22"/>
          <w:szCs w:val="22"/>
        </w:rPr>
        <w:t xml:space="preserve"> be in the context of risk</w:t>
      </w:r>
      <w:r w:rsidR="000D432C">
        <w:rPr>
          <w:rFonts w:ascii="Century Gothic" w:hAnsi="Century Gothic"/>
          <w:sz w:val="22"/>
          <w:szCs w:val="22"/>
        </w:rPr>
        <w:t>, harm</w:t>
      </w:r>
      <w:r w:rsidR="006F5279" w:rsidRPr="0074032F">
        <w:rPr>
          <w:rFonts w:ascii="Century Gothic" w:hAnsi="Century Gothic"/>
          <w:sz w:val="22"/>
          <w:szCs w:val="22"/>
        </w:rPr>
        <w:t xml:space="preserve"> and need. </w:t>
      </w:r>
      <w:r w:rsidR="00CA27FD" w:rsidRPr="0074032F">
        <w:rPr>
          <w:rFonts w:ascii="Century Gothic" w:hAnsi="Century Gothic"/>
          <w:sz w:val="22"/>
          <w:szCs w:val="22"/>
        </w:rPr>
        <w:t xml:space="preserve">Referrals </w:t>
      </w:r>
      <w:r w:rsidR="000D432C">
        <w:rPr>
          <w:rFonts w:ascii="Century Gothic" w:hAnsi="Century Gothic"/>
          <w:sz w:val="22"/>
          <w:szCs w:val="22"/>
        </w:rPr>
        <w:t xml:space="preserve">for support </w:t>
      </w:r>
      <w:r w:rsidR="00A335A3">
        <w:rPr>
          <w:rFonts w:ascii="Century Gothic" w:hAnsi="Century Gothic"/>
          <w:sz w:val="22"/>
          <w:szCs w:val="22"/>
        </w:rPr>
        <w:t xml:space="preserve">are not </w:t>
      </w:r>
      <w:r w:rsidR="00CA27FD" w:rsidRPr="0074032F">
        <w:rPr>
          <w:rFonts w:ascii="Century Gothic" w:hAnsi="Century Gothic"/>
          <w:sz w:val="22"/>
          <w:szCs w:val="22"/>
        </w:rPr>
        <w:t xml:space="preserve">an intervention in themselves and leaves open missed opportunities to assess the direct needs of the children. </w:t>
      </w:r>
    </w:p>
    <w:p w14:paraId="3A77F29D" w14:textId="1FBBB8D9" w:rsidR="00F735E0" w:rsidRDefault="00CA27FD" w:rsidP="00536B74">
      <w:pPr>
        <w:pStyle w:val="ListParagraph"/>
        <w:numPr>
          <w:ilvl w:val="1"/>
          <w:numId w:val="10"/>
        </w:numPr>
        <w:spacing w:line="276" w:lineRule="auto"/>
        <w:jc w:val="both"/>
        <w:rPr>
          <w:rFonts w:ascii="Century Gothic" w:hAnsi="Century Gothic"/>
          <w:sz w:val="22"/>
          <w:szCs w:val="22"/>
        </w:rPr>
      </w:pPr>
      <w:r w:rsidRPr="0074032F">
        <w:rPr>
          <w:rFonts w:ascii="Century Gothic" w:hAnsi="Century Gothic"/>
          <w:sz w:val="22"/>
          <w:szCs w:val="22"/>
        </w:rPr>
        <w:t>With the changes in safeguarding partnership arrangements with the introduction of Working Together 2018, there remains a crucial need to ensure engagement</w:t>
      </w:r>
      <w:r w:rsidR="000A4E30">
        <w:rPr>
          <w:rFonts w:ascii="Century Gothic" w:hAnsi="Century Gothic"/>
          <w:sz w:val="22"/>
          <w:szCs w:val="22"/>
        </w:rPr>
        <w:t xml:space="preserve"> with</w:t>
      </w:r>
      <w:r w:rsidRPr="0074032F">
        <w:rPr>
          <w:rFonts w:ascii="Century Gothic" w:hAnsi="Century Gothic"/>
          <w:sz w:val="22"/>
          <w:szCs w:val="22"/>
        </w:rPr>
        <w:t xml:space="preserve"> voluntary sector partners</w:t>
      </w:r>
      <w:r w:rsidR="007C77CD" w:rsidRPr="0074032F">
        <w:rPr>
          <w:rFonts w:ascii="Century Gothic" w:hAnsi="Century Gothic"/>
          <w:sz w:val="22"/>
          <w:szCs w:val="22"/>
        </w:rPr>
        <w:t xml:space="preserve"> </w:t>
      </w:r>
      <w:r w:rsidR="00E44961">
        <w:rPr>
          <w:rFonts w:ascii="Century Gothic" w:hAnsi="Century Gothic"/>
          <w:sz w:val="22"/>
          <w:szCs w:val="22"/>
        </w:rPr>
        <w:t>o</w:t>
      </w:r>
      <w:r w:rsidR="007C77CD" w:rsidRPr="0074032F">
        <w:rPr>
          <w:rFonts w:ascii="Century Gothic" w:hAnsi="Century Gothic"/>
          <w:sz w:val="22"/>
          <w:szCs w:val="22"/>
        </w:rPr>
        <w:t>n safeguarding matters</w:t>
      </w:r>
      <w:r w:rsidRPr="0074032F">
        <w:rPr>
          <w:rFonts w:ascii="Century Gothic" w:hAnsi="Century Gothic"/>
          <w:sz w:val="22"/>
          <w:szCs w:val="22"/>
        </w:rPr>
        <w:t xml:space="preserve">. </w:t>
      </w:r>
      <w:r w:rsidR="007C77CD" w:rsidRPr="0074032F">
        <w:rPr>
          <w:rFonts w:ascii="Century Gothic" w:hAnsi="Century Gothic"/>
          <w:sz w:val="22"/>
          <w:szCs w:val="22"/>
        </w:rPr>
        <w:t xml:space="preserve">Whilst not diminishing their role and expertise in this case, these agencies were working in isolation with a highly complex set of circumstances with volunteers who do not have the </w:t>
      </w:r>
      <w:r w:rsidR="003B73F6" w:rsidRPr="0074032F">
        <w:rPr>
          <w:rFonts w:ascii="Century Gothic" w:hAnsi="Century Gothic"/>
          <w:sz w:val="22"/>
          <w:szCs w:val="22"/>
        </w:rPr>
        <w:t xml:space="preserve">requisite </w:t>
      </w:r>
      <w:r w:rsidR="007C77CD" w:rsidRPr="0074032F">
        <w:rPr>
          <w:rFonts w:ascii="Century Gothic" w:hAnsi="Century Gothic"/>
          <w:sz w:val="22"/>
          <w:szCs w:val="22"/>
        </w:rPr>
        <w:t>safeguarding skills, experience and knowledge despite training and development opportunities being in place. This is a wider safeguarding issue and if there remains an expectation that voluntary sector agencies fill those gaps in services, they must be supported strategically and operationally by those agencies with safeguarding knowledge</w:t>
      </w:r>
      <w:r w:rsidR="003B73F6" w:rsidRPr="0074032F">
        <w:rPr>
          <w:rFonts w:ascii="Century Gothic" w:hAnsi="Century Gothic"/>
          <w:sz w:val="22"/>
          <w:szCs w:val="22"/>
        </w:rPr>
        <w:t xml:space="preserve">, </w:t>
      </w:r>
      <w:r w:rsidR="000A4E30" w:rsidRPr="0074032F">
        <w:rPr>
          <w:rFonts w:ascii="Century Gothic" w:hAnsi="Century Gothic"/>
          <w:sz w:val="22"/>
          <w:szCs w:val="22"/>
        </w:rPr>
        <w:t>skills,</w:t>
      </w:r>
      <w:r w:rsidR="003B73F6" w:rsidRPr="0074032F">
        <w:rPr>
          <w:rFonts w:ascii="Century Gothic" w:hAnsi="Century Gothic"/>
          <w:sz w:val="22"/>
          <w:szCs w:val="22"/>
        </w:rPr>
        <w:t xml:space="preserve"> and accountabilit</w:t>
      </w:r>
      <w:r w:rsidR="00F735E0" w:rsidRPr="0074032F">
        <w:rPr>
          <w:rFonts w:ascii="Century Gothic" w:hAnsi="Century Gothic"/>
          <w:sz w:val="22"/>
          <w:szCs w:val="22"/>
        </w:rPr>
        <w:t>ies.</w:t>
      </w:r>
    </w:p>
    <w:p w14:paraId="7FAF1B65" w14:textId="06C3E5C4" w:rsidR="00426EB0" w:rsidRPr="00426EB0" w:rsidRDefault="00426EB0" w:rsidP="00426EB0">
      <w:pPr>
        <w:spacing w:line="276" w:lineRule="auto"/>
        <w:jc w:val="both"/>
        <w:rPr>
          <w:rFonts w:ascii="Century Gothic" w:hAnsi="Century Gothic"/>
          <w:sz w:val="22"/>
          <w:szCs w:val="22"/>
        </w:rPr>
      </w:pPr>
    </w:p>
    <w:p w14:paraId="4DC866E3" w14:textId="77777777" w:rsidR="00080630" w:rsidRPr="0074032F" w:rsidRDefault="00080630" w:rsidP="00080630">
      <w:pPr>
        <w:pStyle w:val="ListParagraph"/>
        <w:spacing w:line="276" w:lineRule="auto"/>
        <w:ind w:left="1080"/>
        <w:jc w:val="both"/>
        <w:rPr>
          <w:rFonts w:ascii="Century Gothic" w:hAnsi="Century Gothic"/>
          <w:sz w:val="22"/>
          <w:szCs w:val="22"/>
        </w:rPr>
      </w:pPr>
    </w:p>
    <w:p w14:paraId="6D674C2C" w14:textId="60BE0B2D" w:rsidR="00EA62ED" w:rsidRDefault="00EA62ED" w:rsidP="00080630">
      <w:pPr>
        <w:pStyle w:val="ListParagraph"/>
        <w:numPr>
          <w:ilvl w:val="0"/>
          <w:numId w:val="10"/>
        </w:numPr>
        <w:spacing w:line="276" w:lineRule="auto"/>
        <w:jc w:val="both"/>
        <w:rPr>
          <w:rFonts w:ascii="Century Gothic" w:hAnsi="Century Gothic"/>
          <w:b/>
          <w:bCs/>
          <w:sz w:val="22"/>
          <w:szCs w:val="22"/>
        </w:rPr>
      </w:pPr>
      <w:r w:rsidRPr="00080630">
        <w:rPr>
          <w:rFonts w:ascii="Century Gothic" w:hAnsi="Century Gothic"/>
          <w:b/>
          <w:bCs/>
          <w:sz w:val="22"/>
          <w:szCs w:val="22"/>
        </w:rPr>
        <w:lastRenderedPageBreak/>
        <w:t xml:space="preserve">COVID-19 and its influence on practice </w:t>
      </w:r>
    </w:p>
    <w:p w14:paraId="75BFBA8D" w14:textId="77777777" w:rsidR="00715DC0" w:rsidRPr="00080630" w:rsidRDefault="00715DC0" w:rsidP="00715DC0">
      <w:pPr>
        <w:pStyle w:val="ListParagraph"/>
        <w:spacing w:line="276" w:lineRule="auto"/>
        <w:jc w:val="both"/>
        <w:rPr>
          <w:rFonts w:ascii="Century Gothic" w:hAnsi="Century Gothic"/>
          <w:b/>
          <w:bCs/>
          <w:sz w:val="22"/>
          <w:szCs w:val="22"/>
        </w:rPr>
      </w:pPr>
    </w:p>
    <w:p w14:paraId="7F25590E" w14:textId="1944561A" w:rsidR="0054248F" w:rsidRDefault="00EA62ED" w:rsidP="00E86BB4">
      <w:pPr>
        <w:pStyle w:val="ListParagraph"/>
        <w:numPr>
          <w:ilvl w:val="1"/>
          <w:numId w:val="10"/>
        </w:numPr>
        <w:spacing w:line="276" w:lineRule="auto"/>
        <w:jc w:val="both"/>
        <w:rPr>
          <w:rFonts w:ascii="Century Gothic" w:hAnsi="Century Gothic"/>
          <w:sz w:val="22"/>
          <w:szCs w:val="22"/>
        </w:rPr>
      </w:pPr>
      <w:r w:rsidRPr="0054248F">
        <w:rPr>
          <w:rFonts w:ascii="Century Gothic" w:hAnsi="Century Gothic"/>
          <w:sz w:val="22"/>
          <w:szCs w:val="22"/>
        </w:rPr>
        <w:t xml:space="preserve">The family moved to the new accommodation </w:t>
      </w:r>
      <w:r w:rsidR="000A4E30">
        <w:rPr>
          <w:rFonts w:ascii="Century Gothic" w:hAnsi="Century Gothic"/>
          <w:sz w:val="22"/>
          <w:szCs w:val="22"/>
        </w:rPr>
        <w:t xml:space="preserve">in early March </w:t>
      </w:r>
      <w:r w:rsidRPr="0054248F">
        <w:rPr>
          <w:rFonts w:ascii="Century Gothic" w:hAnsi="Century Gothic"/>
          <w:sz w:val="22"/>
          <w:szCs w:val="22"/>
        </w:rPr>
        <w:t xml:space="preserve">and the first ‘lockdown’ as a result of the COVID-19 pandemic occurred on the </w:t>
      </w:r>
      <w:r w:rsidR="000D432C" w:rsidRPr="0054248F">
        <w:rPr>
          <w:rFonts w:ascii="Century Gothic" w:hAnsi="Century Gothic"/>
          <w:sz w:val="22"/>
          <w:szCs w:val="22"/>
        </w:rPr>
        <w:t>2</w:t>
      </w:r>
      <w:r w:rsidR="00426EB0">
        <w:rPr>
          <w:rFonts w:ascii="Century Gothic" w:hAnsi="Century Gothic"/>
          <w:sz w:val="22"/>
          <w:szCs w:val="22"/>
        </w:rPr>
        <w:t>3rd</w:t>
      </w:r>
      <w:r w:rsidR="000D432C" w:rsidRPr="0054248F">
        <w:rPr>
          <w:rFonts w:ascii="Century Gothic" w:hAnsi="Century Gothic"/>
          <w:sz w:val="22"/>
          <w:szCs w:val="22"/>
          <w:vertAlign w:val="superscript"/>
        </w:rPr>
        <w:t xml:space="preserve"> of</w:t>
      </w:r>
      <w:r w:rsidR="001775ED" w:rsidRPr="0054248F">
        <w:rPr>
          <w:rFonts w:ascii="Century Gothic" w:hAnsi="Century Gothic"/>
          <w:sz w:val="22"/>
          <w:szCs w:val="22"/>
        </w:rPr>
        <w:t xml:space="preserve"> </w:t>
      </w:r>
      <w:r w:rsidRPr="0054248F">
        <w:rPr>
          <w:rFonts w:ascii="Century Gothic" w:hAnsi="Century Gothic"/>
          <w:sz w:val="22"/>
          <w:szCs w:val="22"/>
        </w:rPr>
        <w:t>March</w:t>
      </w:r>
      <w:r w:rsidR="001775ED" w:rsidRPr="0054248F">
        <w:rPr>
          <w:rFonts w:ascii="Century Gothic" w:hAnsi="Century Gothic"/>
          <w:sz w:val="22"/>
          <w:szCs w:val="22"/>
        </w:rPr>
        <w:t xml:space="preserve">. This banned all non-essential travel and contact with people outside of their home. This shut almost all schools, venues, </w:t>
      </w:r>
      <w:r w:rsidR="000A4E30" w:rsidRPr="0054248F">
        <w:rPr>
          <w:rFonts w:ascii="Century Gothic" w:hAnsi="Century Gothic"/>
          <w:sz w:val="22"/>
          <w:szCs w:val="22"/>
        </w:rPr>
        <w:t>facilities,</w:t>
      </w:r>
      <w:r w:rsidR="001775ED" w:rsidRPr="0054248F">
        <w:rPr>
          <w:rFonts w:ascii="Century Gothic" w:hAnsi="Century Gothic"/>
          <w:sz w:val="22"/>
          <w:szCs w:val="22"/>
        </w:rPr>
        <w:t xml:space="preserve"> and amenities. </w:t>
      </w:r>
      <w:r w:rsidR="000A4E30">
        <w:rPr>
          <w:rFonts w:ascii="Century Gothic" w:hAnsi="Century Gothic"/>
          <w:sz w:val="22"/>
          <w:szCs w:val="22"/>
        </w:rPr>
        <w:t xml:space="preserve">Nationally, </w:t>
      </w:r>
      <w:r w:rsidR="00903B13" w:rsidRPr="0054248F">
        <w:rPr>
          <w:rFonts w:ascii="Century Gothic" w:hAnsi="Century Gothic"/>
          <w:sz w:val="22"/>
          <w:szCs w:val="22"/>
        </w:rPr>
        <w:t xml:space="preserve">children’s social </w:t>
      </w:r>
      <w:r w:rsidR="00FE3A81" w:rsidRPr="0054248F">
        <w:rPr>
          <w:rFonts w:ascii="Century Gothic" w:hAnsi="Century Gothic"/>
          <w:sz w:val="22"/>
          <w:szCs w:val="22"/>
        </w:rPr>
        <w:t>care</w:t>
      </w:r>
      <w:r w:rsidR="000A4E30">
        <w:rPr>
          <w:rFonts w:ascii="Century Gothic" w:hAnsi="Century Gothic"/>
          <w:sz w:val="22"/>
          <w:szCs w:val="22"/>
        </w:rPr>
        <w:t xml:space="preserve"> services </w:t>
      </w:r>
      <w:r w:rsidR="000A4E30" w:rsidRPr="0054248F">
        <w:rPr>
          <w:rFonts w:ascii="Century Gothic" w:hAnsi="Century Gothic"/>
          <w:sz w:val="22"/>
          <w:szCs w:val="22"/>
        </w:rPr>
        <w:t>put</w:t>
      </w:r>
      <w:r w:rsidR="001775ED" w:rsidRPr="0054248F">
        <w:rPr>
          <w:rFonts w:ascii="Century Gothic" w:hAnsi="Century Gothic"/>
          <w:sz w:val="22"/>
          <w:szCs w:val="22"/>
        </w:rPr>
        <w:t xml:space="preserve"> in place </w:t>
      </w:r>
      <w:r w:rsidR="00A746E9" w:rsidRPr="0054248F">
        <w:rPr>
          <w:rFonts w:ascii="Century Gothic" w:hAnsi="Century Gothic"/>
          <w:sz w:val="22"/>
          <w:szCs w:val="22"/>
        </w:rPr>
        <w:t>several</w:t>
      </w:r>
      <w:r w:rsidR="001775ED" w:rsidRPr="0054248F">
        <w:rPr>
          <w:rFonts w:ascii="Century Gothic" w:hAnsi="Century Gothic"/>
          <w:sz w:val="22"/>
          <w:szCs w:val="22"/>
        </w:rPr>
        <w:t xml:space="preserve"> measures to ensure services were provided to vulnerable children and families</w:t>
      </w:r>
      <w:r w:rsidR="008B2F52" w:rsidRPr="0054248F">
        <w:rPr>
          <w:rFonts w:ascii="Century Gothic" w:hAnsi="Century Gothic"/>
          <w:sz w:val="22"/>
          <w:szCs w:val="22"/>
        </w:rPr>
        <w:t xml:space="preserve">. </w:t>
      </w:r>
      <w:r w:rsidR="00352E63" w:rsidRPr="0054248F">
        <w:rPr>
          <w:rFonts w:ascii="Century Gothic" w:hAnsi="Century Gothic"/>
          <w:sz w:val="22"/>
          <w:szCs w:val="22"/>
        </w:rPr>
        <w:t xml:space="preserve"> </w:t>
      </w:r>
      <w:r w:rsidR="00D83C67" w:rsidRPr="0054248F">
        <w:rPr>
          <w:rFonts w:ascii="Century Gothic" w:eastAsia="Times New Roman" w:hAnsi="Century Gothic" w:cs="Times New Roman"/>
          <w:sz w:val="22"/>
          <w:szCs w:val="22"/>
          <w:lang w:eastAsia="ja-JP"/>
        </w:rPr>
        <w:t xml:space="preserve">During the initial lockdown </w:t>
      </w:r>
      <w:r w:rsidR="00746FD9" w:rsidRPr="0054248F">
        <w:rPr>
          <w:rFonts w:ascii="Century Gothic" w:eastAsia="Times New Roman" w:hAnsi="Century Gothic" w:cs="Times New Roman"/>
          <w:sz w:val="22"/>
          <w:szCs w:val="22"/>
          <w:lang w:eastAsia="ja-JP"/>
        </w:rPr>
        <w:t xml:space="preserve">they </w:t>
      </w:r>
      <w:r w:rsidR="00D83C67" w:rsidRPr="0054248F">
        <w:rPr>
          <w:rFonts w:ascii="Century Gothic" w:eastAsia="Times New Roman" w:hAnsi="Century Gothic" w:cs="Times New Roman"/>
          <w:sz w:val="22"/>
          <w:szCs w:val="22"/>
          <w:lang w:eastAsia="ja-JP"/>
        </w:rPr>
        <w:t>were visiting c</w:t>
      </w:r>
      <w:r w:rsidR="00746FD9" w:rsidRPr="0054248F">
        <w:rPr>
          <w:rFonts w:ascii="Century Gothic" w:eastAsia="Times New Roman" w:hAnsi="Century Gothic" w:cs="Times New Roman"/>
          <w:sz w:val="22"/>
          <w:szCs w:val="22"/>
          <w:lang w:eastAsia="ja-JP"/>
        </w:rPr>
        <w:t xml:space="preserve">hildren </w:t>
      </w:r>
      <w:r w:rsidR="00D83C67" w:rsidRPr="0054248F">
        <w:rPr>
          <w:rFonts w:ascii="Century Gothic" w:eastAsia="Times New Roman" w:hAnsi="Century Gothic" w:cs="Times New Roman"/>
          <w:sz w:val="22"/>
          <w:szCs w:val="22"/>
          <w:lang w:eastAsia="ja-JP"/>
        </w:rPr>
        <w:t xml:space="preserve">that were already categorised as child protection (subject to </w:t>
      </w:r>
      <w:r w:rsidR="00746FD9" w:rsidRPr="0054248F">
        <w:rPr>
          <w:rFonts w:ascii="Century Gothic" w:eastAsia="Times New Roman" w:hAnsi="Century Gothic" w:cs="Times New Roman"/>
          <w:sz w:val="22"/>
          <w:szCs w:val="22"/>
          <w:lang w:eastAsia="ja-JP"/>
        </w:rPr>
        <w:t>child protection plans</w:t>
      </w:r>
      <w:r w:rsidR="00D83C67" w:rsidRPr="0054248F">
        <w:rPr>
          <w:rFonts w:ascii="Century Gothic" w:eastAsia="Times New Roman" w:hAnsi="Century Gothic" w:cs="Times New Roman"/>
          <w:sz w:val="22"/>
          <w:szCs w:val="22"/>
          <w:lang w:eastAsia="ja-JP"/>
        </w:rPr>
        <w:t xml:space="preserve">) or were deemed </w:t>
      </w:r>
      <w:r w:rsidR="00746FD9" w:rsidRPr="0054248F">
        <w:rPr>
          <w:rFonts w:ascii="Century Gothic" w:eastAsia="Times New Roman" w:hAnsi="Century Gothic" w:cs="Times New Roman"/>
          <w:sz w:val="22"/>
          <w:szCs w:val="22"/>
          <w:lang w:eastAsia="ja-JP"/>
        </w:rPr>
        <w:t xml:space="preserve">at risk under Section </w:t>
      </w:r>
      <w:r w:rsidR="00D83C67" w:rsidRPr="0054248F">
        <w:rPr>
          <w:rFonts w:ascii="Century Gothic" w:eastAsia="Times New Roman" w:hAnsi="Century Gothic" w:cs="Times New Roman"/>
          <w:sz w:val="22"/>
          <w:szCs w:val="22"/>
          <w:lang w:eastAsia="ja-JP"/>
        </w:rPr>
        <w:t xml:space="preserve">47 </w:t>
      </w:r>
      <w:r w:rsidR="00746FD9" w:rsidRPr="0054248F">
        <w:rPr>
          <w:rFonts w:ascii="Century Gothic" w:eastAsia="Times New Roman" w:hAnsi="Century Gothic" w:cs="Times New Roman"/>
          <w:sz w:val="22"/>
          <w:szCs w:val="22"/>
          <w:lang w:eastAsia="ja-JP"/>
        </w:rPr>
        <w:t xml:space="preserve">of the Children Act 1989 </w:t>
      </w:r>
      <w:r w:rsidR="00D83C67" w:rsidRPr="0054248F">
        <w:rPr>
          <w:rFonts w:ascii="Century Gothic" w:eastAsia="Times New Roman" w:hAnsi="Century Gothic" w:cs="Times New Roman"/>
          <w:sz w:val="22"/>
          <w:szCs w:val="22"/>
          <w:lang w:eastAsia="ja-JP"/>
        </w:rPr>
        <w:t xml:space="preserve">following a strategy discussion. </w:t>
      </w:r>
      <w:r w:rsidR="000A4E30">
        <w:rPr>
          <w:rFonts w:ascii="Century Gothic" w:eastAsia="Times New Roman" w:hAnsi="Century Gothic" w:cs="Times New Roman"/>
          <w:sz w:val="22"/>
          <w:szCs w:val="22"/>
          <w:lang w:eastAsia="ja-JP"/>
        </w:rPr>
        <w:t xml:space="preserve">Some </w:t>
      </w:r>
      <w:r w:rsidR="00B92FC2" w:rsidRPr="0054248F">
        <w:rPr>
          <w:rFonts w:ascii="Century Gothic" w:eastAsia="Times New Roman" w:hAnsi="Century Gothic" w:cs="Times New Roman"/>
          <w:sz w:val="22"/>
          <w:szCs w:val="22"/>
          <w:lang w:eastAsia="ja-JP"/>
        </w:rPr>
        <w:t xml:space="preserve">children </w:t>
      </w:r>
      <w:r w:rsidR="00D83C67" w:rsidRPr="0054248F">
        <w:rPr>
          <w:rFonts w:ascii="Century Gothic" w:eastAsia="Times New Roman" w:hAnsi="Century Gothic" w:cs="Times New Roman"/>
          <w:sz w:val="22"/>
          <w:szCs w:val="22"/>
          <w:lang w:eastAsia="ja-JP"/>
        </w:rPr>
        <w:t>had an individual risk assessment to consider the most appropriate</w:t>
      </w:r>
      <w:r w:rsidR="000A4E30">
        <w:rPr>
          <w:rFonts w:ascii="Century Gothic" w:eastAsia="Times New Roman" w:hAnsi="Century Gothic" w:cs="Times New Roman"/>
          <w:sz w:val="22"/>
          <w:szCs w:val="22"/>
          <w:lang w:eastAsia="ja-JP"/>
        </w:rPr>
        <w:t xml:space="preserve"> and </w:t>
      </w:r>
      <w:r w:rsidR="00D83C67" w:rsidRPr="0054248F">
        <w:rPr>
          <w:rFonts w:ascii="Century Gothic" w:eastAsia="Times New Roman" w:hAnsi="Century Gothic" w:cs="Times New Roman"/>
          <w:sz w:val="22"/>
          <w:szCs w:val="22"/>
          <w:lang w:eastAsia="ja-JP"/>
        </w:rPr>
        <w:t>proportionate response. C</w:t>
      </w:r>
      <w:r w:rsidR="00B92FC2" w:rsidRPr="0054248F">
        <w:rPr>
          <w:rFonts w:ascii="Century Gothic" w:eastAsia="Times New Roman" w:hAnsi="Century Gothic" w:cs="Times New Roman"/>
          <w:sz w:val="22"/>
          <w:szCs w:val="22"/>
          <w:lang w:eastAsia="ja-JP"/>
        </w:rPr>
        <w:t xml:space="preserve">hildren </w:t>
      </w:r>
      <w:r w:rsidR="00903B13" w:rsidRPr="0054248F">
        <w:rPr>
          <w:rFonts w:ascii="Century Gothic" w:eastAsia="Times New Roman" w:hAnsi="Century Gothic" w:cs="Times New Roman"/>
          <w:sz w:val="22"/>
          <w:szCs w:val="22"/>
          <w:lang w:eastAsia="ja-JP"/>
        </w:rPr>
        <w:t>who were subject to child in need plans</w:t>
      </w:r>
      <w:r w:rsidR="004A4FD6" w:rsidRPr="0054248F">
        <w:rPr>
          <w:rFonts w:ascii="Century Gothic" w:eastAsia="Times New Roman" w:hAnsi="Century Gothic" w:cs="Times New Roman"/>
          <w:sz w:val="22"/>
          <w:szCs w:val="22"/>
          <w:lang w:eastAsia="ja-JP"/>
        </w:rPr>
        <w:t xml:space="preserve"> or assessments </w:t>
      </w:r>
      <w:r w:rsidR="00D83C67" w:rsidRPr="0054248F">
        <w:rPr>
          <w:rFonts w:ascii="Century Gothic" w:eastAsia="Times New Roman" w:hAnsi="Century Gothic" w:cs="Times New Roman"/>
          <w:sz w:val="22"/>
          <w:szCs w:val="22"/>
          <w:lang w:eastAsia="ja-JP"/>
        </w:rPr>
        <w:t>were predominantly visited virtually using</w:t>
      </w:r>
      <w:r w:rsidR="005A2648" w:rsidRPr="0054248F">
        <w:rPr>
          <w:rFonts w:ascii="Century Gothic" w:eastAsia="Times New Roman" w:hAnsi="Century Gothic" w:cs="Times New Roman"/>
          <w:sz w:val="22"/>
          <w:szCs w:val="22"/>
          <w:lang w:eastAsia="ja-JP"/>
        </w:rPr>
        <w:t xml:space="preserve"> </w:t>
      </w:r>
      <w:r w:rsidR="0054248F" w:rsidRPr="0054248F">
        <w:rPr>
          <w:rFonts w:ascii="Century Gothic" w:eastAsia="Times New Roman" w:hAnsi="Century Gothic" w:cs="Times New Roman"/>
          <w:sz w:val="22"/>
          <w:szCs w:val="22"/>
          <w:lang w:eastAsia="ja-JP"/>
        </w:rPr>
        <w:t>F</w:t>
      </w:r>
      <w:r w:rsidR="00D83C67" w:rsidRPr="0054248F">
        <w:rPr>
          <w:rFonts w:ascii="Century Gothic" w:eastAsia="Times New Roman" w:hAnsi="Century Gothic" w:cs="Times New Roman"/>
          <w:sz w:val="22"/>
          <w:szCs w:val="22"/>
          <w:lang w:eastAsia="ja-JP"/>
        </w:rPr>
        <w:t>acetime</w:t>
      </w:r>
      <w:r w:rsidR="004A4FD6" w:rsidRPr="0054248F">
        <w:rPr>
          <w:rFonts w:ascii="Century Gothic" w:eastAsia="Times New Roman" w:hAnsi="Century Gothic" w:cs="Times New Roman"/>
          <w:sz w:val="22"/>
          <w:szCs w:val="22"/>
          <w:lang w:eastAsia="ja-JP"/>
        </w:rPr>
        <w:t xml:space="preserve"> or W</w:t>
      </w:r>
      <w:r w:rsidR="00D83C67" w:rsidRPr="0054248F">
        <w:rPr>
          <w:rFonts w:ascii="Century Gothic" w:eastAsia="Times New Roman" w:hAnsi="Century Gothic" w:cs="Times New Roman"/>
          <w:sz w:val="22"/>
          <w:szCs w:val="22"/>
          <w:lang w:eastAsia="ja-JP"/>
        </w:rPr>
        <w:t>hats</w:t>
      </w:r>
      <w:r w:rsidR="004A4FD6" w:rsidRPr="0054248F">
        <w:rPr>
          <w:rFonts w:ascii="Century Gothic" w:eastAsia="Times New Roman" w:hAnsi="Century Gothic" w:cs="Times New Roman"/>
          <w:sz w:val="22"/>
          <w:szCs w:val="22"/>
          <w:lang w:eastAsia="ja-JP"/>
        </w:rPr>
        <w:t>A</w:t>
      </w:r>
      <w:r w:rsidR="00D83C67" w:rsidRPr="0054248F">
        <w:rPr>
          <w:rFonts w:ascii="Century Gothic" w:eastAsia="Times New Roman" w:hAnsi="Century Gothic" w:cs="Times New Roman"/>
          <w:sz w:val="22"/>
          <w:szCs w:val="22"/>
          <w:lang w:eastAsia="ja-JP"/>
        </w:rPr>
        <w:t>pp</w:t>
      </w:r>
      <w:r w:rsidR="005A2648" w:rsidRPr="0054248F">
        <w:rPr>
          <w:rFonts w:ascii="Century Gothic" w:eastAsia="Times New Roman" w:hAnsi="Century Gothic" w:cs="Times New Roman"/>
          <w:sz w:val="22"/>
          <w:szCs w:val="22"/>
          <w:lang w:eastAsia="ja-JP"/>
        </w:rPr>
        <w:t xml:space="preserve">. </w:t>
      </w:r>
      <w:r w:rsidR="000A4E30">
        <w:rPr>
          <w:rFonts w:ascii="Century Gothic" w:eastAsia="Times New Roman" w:hAnsi="Century Gothic" w:cs="Times New Roman"/>
          <w:sz w:val="22"/>
          <w:szCs w:val="22"/>
          <w:lang w:eastAsia="ja-JP"/>
        </w:rPr>
        <w:t>Some local authorities i</w:t>
      </w:r>
      <w:r w:rsidR="00D91D6D" w:rsidRPr="0054248F">
        <w:rPr>
          <w:rFonts w:ascii="Century Gothic" w:eastAsia="Times New Roman" w:hAnsi="Century Gothic" w:cs="Times New Roman"/>
          <w:sz w:val="22"/>
          <w:szCs w:val="22"/>
          <w:lang w:eastAsia="ja-JP"/>
        </w:rPr>
        <w:t>nstigate</w:t>
      </w:r>
      <w:r w:rsidR="000A4E30">
        <w:rPr>
          <w:rFonts w:ascii="Century Gothic" w:eastAsia="Times New Roman" w:hAnsi="Century Gothic" w:cs="Times New Roman"/>
          <w:sz w:val="22"/>
          <w:szCs w:val="22"/>
          <w:lang w:eastAsia="ja-JP"/>
        </w:rPr>
        <w:t>d</w:t>
      </w:r>
      <w:r w:rsidR="00D91D6D" w:rsidRPr="0054248F">
        <w:rPr>
          <w:rFonts w:ascii="Century Gothic" w:eastAsia="Times New Roman" w:hAnsi="Century Gothic" w:cs="Times New Roman"/>
          <w:sz w:val="22"/>
          <w:szCs w:val="22"/>
          <w:lang w:eastAsia="ja-JP"/>
        </w:rPr>
        <w:t xml:space="preserve"> a RAG system</w:t>
      </w:r>
      <w:r w:rsidR="00352E63" w:rsidRPr="0054248F">
        <w:rPr>
          <w:rFonts w:ascii="Century Gothic" w:hAnsi="Century Gothic"/>
          <w:sz w:val="22"/>
          <w:szCs w:val="22"/>
        </w:rPr>
        <w:t xml:space="preserve"> (red, amber, green dependent on their risk and need) to determine the level of support that would be offered during lockdown</w:t>
      </w:r>
      <w:r w:rsidR="001775ED" w:rsidRPr="0054248F">
        <w:rPr>
          <w:rFonts w:ascii="Century Gothic" w:hAnsi="Century Gothic"/>
          <w:sz w:val="22"/>
          <w:szCs w:val="22"/>
        </w:rPr>
        <w:t>.</w:t>
      </w:r>
    </w:p>
    <w:p w14:paraId="30AA5A09" w14:textId="44352573" w:rsidR="00080630" w:rsidRPr="0054248F" w:rsidRDefault="00352E63" w:rsidP="00E86BB4">
      <w:pPr>
        <w:pStyle w:val="ListParagraph"/>
        <w:numPr>
          <w:ilvl w:val="1"/>
          <w:numId w:val="10"/>
        </w:numPr>
        <w:spacing w:line="276" w:lineRule="auto"/>
        <w:jc w:val="both"/>
        <w:rPr>
          <w:rFonts w:ascii="Century Gothic" w:hAnsi="Century Gothic"/>
          <w:sz w:val="22"/>
          <w:szCs w:val="22"/>
        </w:rPr>
      </w:pPr>
      <w:r w:rsidRPr="0054248F">
        <w:rPr>
          <w:rFonts w:ascii="Century Gothic" w:hAnsi="Century Gothic"/>
          <w:sz w:val="22"/>
          <w:szCs w:val="22"/>
        </w:rPr>
        <w:t xml:space="preserve">Sadly, as </w:t>
      </w:r>
      <w:r w:rsidR="000932D0" w:rsidRPr="0054248F">
        <w:rPr>
          <w:rFonts w:ascii="Century Gothic" w:hAnsi="Century Gothic"/>
          <w:sz w:val="22"/>
          <w:szCs w:val="22"/>
        </w:rPr>
        <w:t xml:space="preserve">Child T and her sister </w:t>
      </w:r>
      <w:r w:rsidRPr="0054248F">
        <w:rPr>
          <w:rFonts w:ascii="Century Gothic" w:hAnsi="Century Gothic"/>
          <w:sz w:val="22"/>
          <w:szCs w:val="22"/>
        </w:rPr>
        <w:t>were not known to statutory agencies</w:t>
      </w:r>
      <w:r w:rsidR="000D432C">
        <w:rPr>
          <w:rFonts w:ascii="Century Gothic" w:hAnsi="Century Gothic"/>
          <w:sz w:val="22"/>
          <w:szCs w:val="22"/>
        </w:rPr>
        <w:t xml:space="preserve"> in local authority 5</w:t>
      </w:r>
      <w:r w:rsidRPr="0054248F">
        <w:rPr>
          <w:rFonts w:ascii="Century Gothic" w:hAnsi="Century Gothic"/>
          <w:sz w:val="22"/>
          <w:szCs w:val="22"/>
        </w:rPr>
        <w:t xml:space="preserve">, they were not afforded </w:t>
      </w:r>
      <w:r w:rsidR="000A4E30">
        <w:rPr>
          <w:rFonts w:ascii="Century Gothic" w:hAnsi="Century Gothic"/>
          <w:sz w:val="22"/>
          <w:szCs w:val="22"/>
        </w:rPr>
        <w:t xml:space="preserve">any of </w:t>
      </w:r>
      <w:r w:rsidRPr="0054248F">
        <w:rPr>
          <w:rFonts w:ascii="Century Gothic" w:hAnsi="Century Gothic"/>
          <w:sz w:val="22"/>
          <w:szCs w:val="22"/>
        </w:rPr>
        <w:t xml:space="preserve">that support. </w:t>
      </w:r>
      <w:r w:rsidR="001775ED" w:rsidRPr="0054248F">
        <w:rPr>
          <w:rFonts w:ascii="Century Gothic" w:hAnsi="Century Gothic"/>
          <w:sz w:val="22"/>
          <w:szCs w:val="22"/>
        </w:rPr>
        <w:t xml:space="preserve">In the case of Child T and her family, the timing of their move could not have been at a more challenging time. </w:t>
      </w:r>
      <w:r w:rsidRPr="0054248F">
        <w:rPr>
          <w:rFonts w:ascii="Century Gothic" w:hAnsi="Century Gothic"/>
          <w:sz w:val="22"/>
          <w:szCs w:val="22"/>
        </w:rPr>
        <w:t>The subsequent lockdown had resulted in the only agency contact being via telephone</w:t>
      </w:r>
      <w:r w:rsidR="000A4E30">
        <w:rPr>
          <w:rFonts w:ascii="Century Gothic" w:hAnsi="Century Gothic"/>
          <w:sz w:val="22"/>
          <w:szCs w:val="22"/>
        </w:rPr>
        <w:t xml:space="preserve">. </w:t>
      </w:r>
      <w:r w:rsidRPr="0054248F">
        <w:rPr>
          <w:rFonts w:ascii="Century Gothic" w:hAnsi="Century Gothic"/>
          <w:sz w:val="22"/>
          <w:szCs w:val="22"/>
        </w:rPr>
        <w:t xml:space="preserve">Birth mother had not registered with a GP, was in new accommodation, in a new area, with no family support and was faced with remaining in the flat for significant periods with 2 very young children, one of whom had challenging behaviour. </w:t>
      </w:r>
      <w:r w:rsidR="00750CC1" w:rsidRPr="0054248F">
        <w:rPr>
          <w:rFonts w:ascii="Century Gothic" w:hAnsi="Century Gothic"/>
          <w:sz w:val="22"/>
          <w:szCs w:val="22"/>
        </w:rPr>
        <w:t>B</w:t>
      </w:r>
      <w:r w:rsidRPr="0054248F">
        <w:rPr>
          <w:rFonts w:ascii="Century Gothic" w:hAnsi="Century Gothic"/>
          <w:sz w:val="22"/>
          <w:szCs w:val="22"/>
        </w:rPr>
        <w:t xml:space="preserve">irth mother had not had full time permanent sole care of </w:t>
      </w:r>
      <w:r w:rsidR="00860219" w:rsidRPr="0054248F">
        <w:rPr>
          <w:rFonts w:ascii="Century Gothic" w:hAnsi="Century Gothic"/>
          <w:sz w:val="22"/>
          <w:szCs w:val="22"/>
        </w:rPr>
        <w:t>her older daughter</w:t>
      </w:r>
      <w:r w:rsidRPr="0054248F">
        <w:rPr>
          <w:rFonts w:ascii="Century Gothic" w:hAnsi="Century Gothic"/>
          <w:sz w:val="22"/>
          <w:szCs w:val="22"/>
        </w:rPr>
        <w:t xml:space="preserve"> for some months prior to the move to the </w:t>
      </w:r>
      <w:r w:rsidR="00294E3B">
        <w:rPr>
          <w:rFonts w:ascii="Century Gothic" w:hAnsi="Century Gothic"/>
          <w:sz w:val="22"/>
          <w:szCs w:val="22"/>
        </w:rPr>
        <w:t>r</w:t>
      </w:r>
      <w:r w:rsidR="008F1414" w:rsidRPr="0054248F">
        <w:rPr>
          <w:rFonts w:ascii="Century Gothic" w:hAnsi="Century Gothic"/>
          <w:sz w:val="22"/>
          <w:szCs w:val="22"/>
        </w:rPr>
        <w:t>efuge</w:t>
      </w:r>
      <w:r w:rsidRPr="0054248F">
        <w:rPr>
          <w:rFonts w:ascii="Century Gothic" w:hAnsi="Century Gothic"/>
          <w:sz w:val="22"/>
          <w:szCs w:val="22"/>
        </w:rPr>
        <w:t>.</w:t>
      </w:r>
    </w:p>
    <w:p w14:paraId="0C161F06" w14:textId="5240C14D" w:rsidR="00080630" w:rsidRDefault="00750CC1" w:rsidP="000D0C11">
      <w:pPr>
        <w:pStyle w:val="ListParagraph"/>
        <w:numPr>
          <w:ilvl w:val="1"/>
          <w:numId w:val="10"/>
        </w:numPr>
        <w:spacing w:line="276" w:lineRule="auto"/>
        <w:jc w:val="both"/>
        <w:rPr>
          <w:rFonts w:ascii="Century Gothic" w:hAnsi="Century Gothic"/>
          <w:sz w:val="22"/>
          <w:szCs w:val="22"/>
        </w:rPr>
      </w:pPr>
      <w:r w:rsidRPr="00080630">
        <w:rPr>
          <w:rFonts w:ascii="Century Gothic" w:hAnsi="Century Gothic"/>
          <w:sz w:val="22"/>
          <w:szCs w:val="22"/>
        </w:rPr>
        <w:t xml:space="preserve">Birth mother’s own experiences have influenced and impacted on her ability to effectively care for her children. She had very limited family support and relied on friends and relationships to </w:t>
      </w:r>
      <w:r w:rsidR="002C26D5">
        <w:rPr>
          <w:rFonts w:ascii="Century Gothic" w:hAnsi="Century Gothic"/>
          <w:sz w:val="22"/>
          <w:szCs w:val="22"/>
        </w:rPr>
        <w:t xml:space="preserve">support and </w:t>
      </w:r>
      <w:r w:rsidRPr="00080630">
        <w:rPr>
          <w:rFonts w:ascii="Century Gothic" w:hAnsi="Century Gothic"/>
          <w:sz w:val="22"/>
          <w:szCs w:val="22"/>
        </w:rPr>
        <w:t xml:space="preserve">meet her needs. She has a history of abusive and controlling relationships where she has </w:t>
      </w:r>
      <w:r w:rsidR="002C26D5">
        <w:rPr>
          <w:rFonts w:ascii="Century Gothic" w:hAnsi="Century Gothic"/>
          <w:sz w:val="22"/>
          <w:szCs w:val="22"/>
        </w:rPr>
        <w:t xml:space="preserve">struggled </w:t>
      </w:r>
      <w:r w:rsidRPr="00080630">
        <w:rPr>
          <w:rFonts w:ascii="Century Gothic" w:hAnsi="Century Gothic"/>
          <w:sz w:val="22"/>
          <w:szCs w:val="22"/>
        </w:rPr>
        <w:t xml:space="preserve">to place the needs of the children first. She has a history of not engaging with the support that has been offered. The move to the </w:t>
      </w:r>
      <w:r w:rsidR="00294E3B">
        <w:rPr>
          <w:rFonts w:ascii="Century Gothic" w:hAnsi="Century Gothic"/>
          <w:sz w:val="22"/>
          <w:szCs w:val="22"/>
        </w:rPr>
        <w:t>r</w:t>
      </w:r>
      <w:r w:rsidRPr="00080630">
        <w:rPr>
          <w:rFonts w:ascii="Century Gothic" w:hAnsi="Century Gothic"/>
          <w:sz w:val="22"/>
          <w:szCs w:val="22"/>
        </w:rPr>
        <w:t>efuge was intended to be a fresh start. Her move to new accommodation in a new area was to ‘start again’. Without doubt, the restrictions associated with COVID</w:t>
      </w:r>
      <w:r w:rsidR="00F735E0" w:rsidRPr="00080630">
        <w:rPr>
          <w:rFonts w:ascii="Century Gothic" w:hAnsi="Century Gothic"/>
          <w:sz w:val="22"/>
          <w:szCs w:val="22"/>
        </w:rPr>
        <w:t>-</w:t>
      </w:r>
      <w:r w:rsidRPr="00080630">
        <w:rPr>
          <w:rFonts w:ascii="Century Gothic" w:hAnsi="Century Gothic"/>
          <w:sz w:val="22"/>
          <w:szCs w:val="22"/>
        </w:rPr>
        <w:t>19 limited significantly</w:t>
      </w:r>
      <w:r w:rsidR="00E83EF0">
        <w:rPr>
          <w:rFonts w:ascii="Century Gothic" w:hAnsi="Century Gothic"/>
          <w:sz w:val="22"/>
          <w:szCs w:val="22"/>
        </w:rPr>
        <w:t>,</w:t>
      </w:r>
      <w:r w:rsidRPr="00080630">
        <w:rPr>
          <w:rFonts w:ascii="Century Gothic" w:hAnsi="Century Gothic"/>
          <w:sz w:val="22"/>
          <w:szCs w:val="22"/>
        </w:rPr>
        <w:t xml:space="preserve"> the contact with supportive agencies. It is within this context that birth mother sought support and to avoid loneliness through</w:t>
      </w:r>
      <w:r w:rsidR="002C26D5">
        <w:rPr>
          <w:rFonts w:ascii="Century Gothic" w:hAnsi="Century Gothic"/>
          <w:sz w:val="22"/>
          <w:szCs w:val="22"/>
        </w:rPr>
        <w:t xml:space="preserve"> </w:t>
      </w:r>
      <w:r w:rsidR="00D719DE" w:rsidRPr="00080630">
        <w:rPr>
          <w:rFonts w:ascii="Century Gothic" w:hAnsi="Century Gothic"/>
          <w:sz w:val="22"/>
          <w:szCs w:val="22"/>
        </w:rPr>
        <w:t>friend</w:t>
      </w:r>
      <w:r w:rsidR="002C26D5">
        <w:rPr>
          <w:rFonts w:ascii="Century Gothic" w:hAnsi="Century Gothic"/>
          <w:sz w:val="22"/>
          <w:szCs w:val="22"/>
        </w:rPr>
        <w:t>s</w:t>
      </w:r>
      <w:r w:rsidR="00D719DE" w:rsidRPr="00080630">
        <w:rPr>
          <w:rFonts w:ascii="Century Gothic" w:hAnsi="Century Gothic"/>
          <w:sz w:val="22"/>
          <w:szCs w:val="22"/>
        </w:rPr>
        <w:t xml:space="preserve"> who stayed with her during lockdown</w:t>
      </w:r>
      <w:r w:rsidRPr="00080630">
        <w:rPr>
          <w:rFonts w:ascii="Century Gothic" w:hAnsi="Century Gothic"/>
          <w:sz w:val="22"/>
          <w:szCs w:val="22"/>
        </w:rPr>
        <w:t>. This</w:t>
      </w:r>
      <w:r w:rsidR="002C26D5">
        <w:rPr>
          <w:rFonts w:ascii="Century Gothic" w:hAnsi="Century Gothic"/>
          <w:sz w:val="22"/>
          <w:szCs w:val="22"/>
        </w:rPr>
        <w:t xml:space="preserve"> sadly</w:t>
      </w:r>
      <w:r w:rsidRPr="00080630">
        <w:rPr>
          <w:rFonts w:ascii="Century Gothic" w:hAnsi="Century Gothic"/>
          <w:sz w:val="22"/>
          <w:szCs w:val="22"/>
        </w:rPr>
        <w:t xml:space="preserve"> triggered</w:t>
      </w:r>
      <w:r w:rsidR="00A70050">
        <w:rPr>
          <w:rFonts w:ascii="Century Gothic" w:hAnsi="Century Gothic"/>
          <w:sz w:val="22"/>
          <w:szCs w:val="22"/>
        </w:rPr>
        <w:t xml:space="preserve"> </w:t>
      </w:r>
      <w:r w:rsidR="00D719DE" w:rsidRPr="00080630">
        <w:rPr>
          <w:rFonts w:ascii="Century Gothic" w:hAnsi="Century Gothic"/>
          <w:sz w:val="22"/>
          <w:szCs w:val="22"/>
        </w:rPr>
        <w:t xml:space="preserve">a regular use </w:t>
      </w:r>
      <w:r w:rsidRPr="00080630">
        <w:rPr>
          <w:rFonts w:ascii="Century Gothic" w:hAnsi="Century Gothic"/>
          <w:sz w:val="22"/>
          <w:szCs w:val="22"/>
        </w:rPr>
        <w:t>of drugs and alcohol again</w:t>
      </w:r>
      <w:r w:rsidR="00D719DE" w:rsidRPr="00080630">
        <w:rPr>
          <w:rFonts w:ascii="Century Gothic" w:hAnsi="Century Gothic"/>
          <w:sz w:val="22"/>
          <w:szCs w:val="22"/>
        </w:rPr>
        <w:t>.</w:t>
      </w:r>
      <w:r w:rsidR="00857A74">
        <w:rPr>
          <w:rFonts w:ascii="Century Gothic" w:hAnsi="Century Gothic"/>
          <w:sz w:val="22"/>
          <w:szCs w:val="22"/>
        </w:rPr>
        <w:t xml:space="preserve"> </w:t>
      </w:r>
    </w:p>
    <w:p w14:paraId="1D193341" w14:textId="72BD2FE5" w:rsidR="00080630" w:rsidRPr="00080630" w:rsidRDefault="00CB598A" w:rsidP="00536B74">
      <w:pPr>
        <w:pStyle w:val="ListParagraph"/>
        <w:numPr>
          <w:ilvl w:val="1"/>
          <w:numId w:val="10"/>
        </w:numPr>
        <w:spacing w:line="276" w:lineRule="auto"/>
        <w:jc w:val="both"/>
        <w:rPr>
          <w:rFonts w:ascii="Century Gothic" w:hAnsi="Century Gothic"/>
          <w:sz w:val="22"/>
          <w:szCs w:val="22"/>
          <w:lang w:val="en"/>
        </w:rPr>
      </w:pPr>
      <w:r w:rsidRPr="00080630">
        <w:rPr>
          <w:rFonts w:ascii="Century Gothic" w:hAnsi="Century Gothic"/>
          <w:sz w:val="22"/>
          <w:szCs w:val="22"/>
        </w:rPr>
        <w:t xml:space="preserve">COVID-19 had </w:t>
      </w:r>
      <w:r w:rsidR="00EC6213">
        <w:rPr>
          <w:rFonts w:ascii="Century Gothic" w:hAnsi="Century Gothic"/>
          <w:sz w:val="22"/>
          <w:szCs w:val="22"/>
        </w:rPr>
        <w:t xml:space="preserve">no influence on the </w:t>
      </w:r>
      <w:r w:rsidRPr="00080630">
        <w:rPr>
          <w:rFonts w:ascii="Century Gothic" w:hAnsi="Century Gothic"/>
          <w:sz w:val="22"/>
          <w:szCs w:val="22"/>
        </w:rPr>
        <w:t xml:space="preserve">poor practice of not transferring, referring, </w:t>
      </w:r>
      <w:r w:rsidR="002C26D5">
        <w:rPr>
          <w:rFonts w:ascii="Century Gothic" w:hAnsi="Century Gothic"/>
          <w:sz w:val="22"/>
          <w:szCs w:val="22"/>
        </w:rPr>
        <w:t xml:space="preserve">communicating, </w:t>
      </w:r>
      <w:r w:rsidRPr="00080630">
        <w:rPr>
          <w:rFonts w:ascii="Century Gothic" w:hAnsi="Century Gothic"/>
          <w:sz w:val="22"/>
          <w:szCs w:val="22"/>
        </w:rPr>
        <w:t>assessing or appropriately planning for the children.</w:t>
      </w:r>
    </w:p>
    <w:p w14:paraId="5D9115D6" w14:textId="2FA66AAB" w:rsidR="0023321C" w:rsidRDefault="00343569" w:rsidP="00651964">
      <w:pPr>
        <w:pStyle w:val="ListParagraph"/>
        <w:numPr>
          <w:ilvl w:val="1"/>
          <w:numId w:val="10"/>
        </w:numPr>
        <w:spacing w:line="276" w:lineRule="auto"/>
        <w:jc w:val="both"/>
        <w:rPr>
          <w:rFonts w:ascii="Century Gothic" w:hAnsi="Century Gothic"/>
          <w:sz w:val="22"/>
          <w:szCs w:val="22"/>
          <w:lang w:val="en"/>
        </w:rPr>
      </w:pPr>
      <w:r w:rsidRPr="00080630">
        <w:rPr>
          <w:rFonts w:ascii="Century Gothic" w:hAnsi="Century Gothic"/>
          <w:sz w:val="22"/>
          <w:szCs w:val="22"/>
          <w:lang w:val="en"/>
        </w:rPr>
        <w:lastRenderedPageBreak/>
        <w:t xml:space="preserve">Between April and October 2020, almost 40% of serious incident notifications to </w:t>
      </w:r>
      <w:proofErr w:type="spellStart"/>
      <w:r w:rsidRPr="00080630">
        <w:rPr>
          <w:rFonts w:ascii="Century Gothic" w:hAnsi="Century Gothic"/>
          <w:sz w:val="22"/>
          <w:szCs w:val="22"/>
          <w:lang w:val="en"/>
        </w:rPr>
        <w:t>Ofsted</w:t>
      </w:r>
      <w:proofErr w:type="spellEnd"/>
      <w:r w:rsidRPr="00080630">
        <w:rPr>
          <w:rFonts w:ascii="Century Gothic" w:hAnsi="Century Gothic"/>
          <w:sz w:val="22"/>
          <w:szCs w:val="22"/>
          <w:lang w:val="en"/>
        </w:rPr>
        <w:t xml:space="preserve"> were for babies</w:t>
      </w:r>
      <w:r w:rsidRPr="00FF6C76">
        <w:rPr>
          <w:rStyle w:val="FootnoteReference"/>
          <w:rFonts w:ascii="Century Gothic" w:hAnsi="Century Gothic"/>
          <w:sz w:val="22"/>
          <w:szCs w:val="22"/>
          <w:lang w:val="en"/>
        </w:rPr>
        <w:footnoteReference w:id="14"/>
      </w:r>
      <w:r w:rsidRPr="00080630">
        <w:rPr>
          <w:rFonts w:ascii="Century Gothic" w:hAnsi="Century Gothic"/>
          <w:sz w:val="22"/>
          <w:szCs w:val="22"/>
          <w:lang w:val="en"/>
        </w:rPr>
        <w:t xml:space="preserve">. There was also an increase of unexpected baby deaths in this period, deemed to be preventable tragedies with </w:t>
      </w:r>
      <w:r w:rsidR="002C26D5" w:rsidRPr="00080630">
        <w:rPr>
          <w:rFonts w:ascii="Century Gothic" w:hAnsi="Century Gothic"/>
          <w:sz w:val="22"/>
          <w:szCs w:val="22"/>
          <w:lang w:val="en"/>
        </w:rPr>
        <w:t>babies</w:t>
      </w:r>
      <w:r w:rsidRPr="00080630">
        <w:rPr>
          <w:rFonts w:ascii="Century Gothic" w:hAnsi="Century Gothic"/>
          <w:sz w:val="22"/>
          <w:szCs w:val="22"/>
          <w:lang w:val="en"/>
        </w:rPr>
        <w:t xml:space="preserve"> </w:t>
      </w:r>
      <w:r w:rsidR="00D23B04" w:rsidRPr="00080630">
        <w:rPr>
          <w:rFonts w:ascii="Century Gothic" w:hAnsi="Century Gothic"/>
          <w:sz w:val="22"/>
          <w:szCs w:val="22"/>
          <w:lang w:val="en"/>
        </w:rPr>
        <w:t xml:space="preserve">for example </w:t>
      </w:r>
      <w:r w:rsidRPr="00080630">
        <w:rPr>
          <w:rFonts w:ascii="Century Gothic" w:hAnsi="Century Gothic"/>
          <w:sz w:val="22"/>
          <w:szCs w:val="22"/>
          <w:lang w:val="en"/>
        </w:rPr>
        <w:t xml:space="preserve">not being put down to sleep safely. </w:t>
      </w:r>
      <w:r w:rsidR="00D23B04" w:rsidRPr="00080630">
        <w:rPr>
          <w:rFonts w:ascii="Century Gothic" w:hAnsi="Century Gothic"/>
          <w:sz w:val="22"/>
          <w:szCs w:val="22"/>
          <w:lang w:val="en"/>
        </w:rPr>
        <w:t xml:space="preserve">It was argued that all professionals who work with families must be curious and whilst ‘continuing restrictions may be hampering face-to-face visits…these children are out of </w:t>
      </w:r>
      <w:r w:rsidR="00FF6C76" w:rsidRPr="00080630">
        <w:rPr>
          <w:rFonts w:ascii="Century Gothic" w:hAnsi="Century Gothic"/>
          <w:sz w:val="22"/>
          <w:szCs w:val="22"/>
          <w:lang w:val="en"/>
        </w:rPr>
        <w:t>sight;</w:t>
      </w:r>
      <w:r w:rsidR="00D23B04" w:rsidRPr="00080630">
        <w:rPr>
          <w:rFonts w:ascii="Century Gothic" w:hAnsi="Century Gothic"/>
          <w:sz w:val="22"/>
          <w:szCs w:val="22"/>
          <w:lang w:val="en"/>
        </w:rPr>
        <w:t xml:space="preserve"> they should never be out of mind’. </w:t>
      </w:r>
    </w:p>
    <w:p w14:paraId="5F9C5DFF" w14:textId="77777777" w:rsidR="00080630" w:rsidRPr="00080630" w:rsidRDefault="00080630" w:rsidP="00080630">
      <w:pPr>
        <w:pStyle w:val="ListParagraph"/>
        <w:spacing w:line="276" w:lineRule="auto"/>
        <w:ind w:left="1080"/>
        <w:jc w:val="both"/>
        <w:rPr>
          <w:rFonts w:ascii="Century Gothic" w:hAnsi="Century Gothic"/>
          <w:sz w:val="22"/>
          <w:szCs w:val="22"/>
          <w:lang w:val="en"/>
        </w:rPr>
      </w:pPr>
    </w:p>
    <w:p w14:paraId="085033A3" w14:textId="22AA0C0F" w:rsidR="00EA62ED" w:rsidRDefault="00860219" w:rsidP="00080630">
      <w:pPr>
        <w:pStyle w:val="ListParagraph"/>
        <w:numPr>
          <w:ilvl w:val="0"/>
          <w:numId w:val="10"/>
        </w:numPr>
        <w:spacing w:line="276" w:lineRule="auto"/>
        <w:jc w:val="both"/>
        <w:rPr>
          <w:rFonts w:ascii="Century Gothic" w:hAnsi="Century Gothic"/>
          <w:b/>
          <w:bCs/>
          <w:sz w:val="22"/>
          <w:szCs w:val="22"/>
        </w:rPr>
      </w:pPr>
      <w:r w:rsidRPr="00080630">
        <w:rPr>
          <w:rFonts w:ascii="Century Gothic" w:hAnsi="Century Gothic"/>
          <w:b/>
          <w:bCs/>
          <w:sz w:val="22"/>
          <w:szCs w:val="22"/>
        </w:rPr>
        <w:t>Examples of good practice</w:t>
      </w:r>
    </w:p>
    <w:p w14:paraId="709D61CE" w14:textId="77777777" w:rsidR="00715DC0" w:rsidRPr="00080630" w:rsidRDefault="00715DC0" w:rsidP="00715DC0">
      <w:pPr>
        <w:pStyle w:val="ListParagraph"/>
        <w:spacing w:line="276" w:lineRule="auto"/>
        <w:jc w:val="both"/>
        <w:rPr>
          <w:rFonts w:ascii="Century Gothic" w:hAnsi="Century Gothic"/>
          <w:b/>
          <w:bCs/>
          <w:sz w:val="22"/>
          <w:szCs w:val="22"/>
        </w:rPr>
      </w:pPr>
    </w:p>
    <w:p w14:paraId="0B3C8CDC" w14:textId="7547CF23" w:rsidR="001D3070" w:rsidRPr="00FF6C76" w:rsidRDefault="00860219"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 xml:space="preserve">The </w:t>
      </w:r>
      <w:r w:rsidR="00294E3B">
        <w:rPr>
          <w:rFonts w:ascii="Century Gothic" w:hAnsi="Century Gothic"/>
          <w:sz w:val="22"/>
          <w:szCs w:val="22"/>
        </w:rPr>
        <w:t>r</w:t>
      </w:r>
      <w:r w:rsidR="008F1414">
        <w:rPr>
          <w:rFonts w:ascii="Century Gothic" w:hAnsi="Century Gothic"/>
          <w:sz w:val="22"/>
          <w:szCs w:val="22"/>
        </w:rPr>
        <w:t>efuge</w:t>
      </w:r>
      <w:r w:rsidRPr="00FF6C76">
        <w:rPr>
          <w:rFonts w:ascii="Century Gothic" w:hAnsi="Century Gothic"/>
          <w:sz w:val="22"/>
          <w:szCs w:val="22"/>
        </w:rPr>
        <w:t xml:space="preserve"> worker remaining involved with the family despite the move to new accommodation in local authority 5</w:t>
      </w:r>
      <w:r w:rsidR="002C26D5">
        <w:rPr>
          <w:rFonts w:ascii="Century Gothic" w:hAnsi="Century Gothic"/>
          <w:sz w:val="22"/>
          <w:szCs w:val="22"/>
        </w:rPr>
        <w:t>.</w:t>
      </w:r>
      <w:r w:rsidR="001D3070" w:rsidRPr="00FF6C76">
        <w:rPr>
          <w:rFonts w:ascii="Century Gothic" w:hAnsi="Century Gothic"/>
          <w:sz w:val="22"/>
          <w:szCs w:val="22"/>
        </w:rPr>
        <w:t xml:space="preserve"> </w:t>
      </w:r>
    </w:p>
    <w:p w14:paraId="5018ED19" w14:textId="2EE99E89" w:rsidR="00860219" w:rsidRPr="00FF6C76" w:rsidRDefault="00860219"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The positive engagement and impact of the work of the community nursery nurse in local authority 3</w:t>
      </w:r>
    </w:p>
    <w:p w14:paraId="5373B759" w14:textId="6BDF9217" w:rsidR="00860219" w:rsidRPr="00FF6C76" w:rsidRDefault="001D3070"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 xml:space="preserve">The referrals to support services by the early help practitioner </w:t>
      </w:r>
      <w:r w:rsidR="000D432C">
        <w:rPr>
          <w:rFonts w:ascii="Century Gothic" w:hAnsi="Century Gothic"/>
          <w:sz w:val="22"/>
          <w:szCs w:val="22"/>
        </w:rPr>
        <w:t xml:space="preserve">in local authority 3 </w:t>
      </w:r>
      <w:r w:rsidRPr="00FF6C76">
        <w:rPr>
          <w:rFonts w:ascii="Century Gothic" w:hAnsi="Century Gothic"/>
          <w:sz w:val="22"/>
          <w:szCs w:val="22"/>
        </w:rPr>
        <w:t xml:space="preserve">were appropriate and considered the needs of the </w:t>
      </w:r>
      <w:r w:rsidR="0024089B" w:rsidRPr="00FF6C76">
        <w:rPr>
          <w:rFonts w:ascii="Century Gothic" w:hAnsi="Century Gothic"/>
          <w:sz w:val="22"/>
          <w:szCs w:val="22"/>
        </w:rPr>
        <w:t>children.</w:t>
      </w:r>
    </w:p>
    <w:p w14:paraId="5FC1AE97" w14:textId="601111C0" w:rsidR="001D3070" w:rsidRPr="00FF6C76" w:rsidRDefault="001D3070"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 xml:space="preserve">As a result of this case, health visitors are now assigned to </w:t>
      </w:r>
      <w:r w:rsidR="00294E3B">
        <w:rPr>
          <w:rFonts w:ascii="Century Gothic" w:hAnsi="Century Gothic"/>
          <w:sz w:val="22"/>
          <w:szCs w:val="22"/>
        </w:rPr>
        <w:t>r</w:t>
      </w:r>
      <w:r w:rsidR="008F1414">
        <w:rPr>
          <w:rFonts w:ascii="Century Gothic" w:hAnsi="Century Gothic"/>
          <w:sz w:val="22"/>
          <w:szCs w:val="22"/>
        </w:rPr>
        <w:t>efuge</w:t>
      </w:r>
      <w:r w:rsidR="00294E3B">
        <w:rPr>
          <w:rFonts w:ascii="Century Gothic" w:hAnsi="Century Gothic"/>
          <w:sz w:val="22"/>
          <w:szCs w:val="22"/>
        </w:rPr>
        <w:t xml:space="preserve"> accommodation</w:t>
      </w:r>
      <w:r w:rsidRPr="00FF6C76">
        <w:rPr>
          <w:rFonts w:ascii="Century Gothic" w:hAnsi="Century Gothic"/>
          <w:sz w:val="22"/>
          <w:szCs w:val="22"/>
        </w:rPr>
        <w:t xml:space="preserve"> in local authority </w:t>
      </w:r>
      <w:r w:rsidR="0024089B" w:rsidRPr="00FF6C76">
        <w:rPr>
          <w:rFonts w:ascii="Century Gothic" w:hAnsi="Century Gothic"/>
          <w:sz w:val="22"/>
          <w:szCs w:val="22"/>
        </w:rPr>
        <w:t>3.</w:t>
      </w:r>
    </w:p>
    <w:p w14:paraId="38F412B9" w14:textId="72EB1CB1" w:rsidR="00050014" w:rsidRDefault="001D3070" w:rsidP="007A6D17">
      <w:pPr>
        <w:pStyle w:val="ListParagraph"/>
        <w:numPr>
          <w:ilvl w:val="0"/>
          <w:numId w:val="2"/>
        </w:numPr>
        <w:spacing w:line="276" w:lineRule="auto"/>
        <w:jc w:val="both"/>
        <w:rPr>
          <w:rFonts w:ascii="Century Gothic" w:hAnsi="Century Gothic"/>
          <w:sz w:val="22"/>
          <w:szCs w:val="22"/>
        </w:rPr>
      </w:pPr>
      <w:r w:rsidRPr="00FF6C76">
        <w:rPr>
          <w:rFonts w:ascii="Century Gothic" w:hAnsi="Century Gothic"/>
          <w:sz w:val="22"/>
          <w:szCs w:val="22"/>
        </w:rPr>
        <w:t xml:space="preserve">2 voluntary sector agencies have changed their referral processes in response to this case and now ask for more detailed information regarding the </w:t>
      </w:r>
      <w:r w:rsidR="00050014" w:rsidRPr="00FF6C76">
        <w:rPr>
          <w:rFonts w:ascii="Century Gothic" w:hAnsi="Century Gothic"/>
          <w:sz w:val="22"/>
          <w:szCs w:val="22"/>
        </w:rPr>
        <w:t xml:space="preserve">history of the family and previous and current agency </w:t>
      </w:r>
      <w:r w:rsidR="0024089B" w:rsidRPr="00FF6C76">
        <w:rPr>
          <w:rFonts w:ascii="Century Gothic" w:hAnsi="Century Gothic"/>
          <w:sz w:val="22"/>
          <w:szCs w:val="22"/>
        </w:rPr>
        <w:t>involvement.</w:t>
      </w:r>
    </w:p>
    <w:p w14:paraId="76CE7428" w14:textId="77777777" w:rsidR="00080630" w:rsidRPr="00FF6C76" w:rsidRDefault="00080630" w:rsidP="00080630">
      <w:pPr>
        <w:pStyle w:val="ListParagraph"/>
        <w:spacing w:line="276" w:lineRule="auto"/>
        <w:jc w:val="both"/>
        <w:rPr>
          <w:rFonts w:ascii="Century Gothic" w:hAnsi="Century Gothic"/>
          <w:sz w:val="22"/>
          <w:szCs w:val="22"/>
        </w:rPr>
      </w:pPr>
    </w:p>
    <w:p w14:paraId="431D0D52" w14:textId="0331C4F6" w:rsidR="00EA62ED" w:rsidRPr="00080630" w:rsidRDefault="00FF6C76" w:rsidP="00080630">
      <w:pPr>
        <w:pStyle w:val="ListParagraph"/>
        <w:numPr>
          <w:ilvl w:val="0"/>
          <w:numId w:val="10"/>
        </w:numPr>
        <w:spacing w:line="276" w:lineRule="auto"/>
        <w:jc w:val="both"/>
        <w:rPr>
          <w:rFonts w:ascii="Century Gothic" w:hAnsi="Century Gothic"/>
          <w:b/>
          <w:bCs/>
          <w:sz w:val="22"/>
          <w:szCs w:val="22"/>
        </w:rPr>
      </w:pPr>
      <w:r w:rsidRPr="00080630">
        <w:rPr>
          <w:rFonts w:ascii="Century Gothic" w:hAnsi="Century Gothic"/>
          <w:b/>
          <w:bCs/>
          <w:sz w:val="22"/>
          <w:szCs w:val="22"/>
        </w:rPr>
        <w:t>Conclusions</w:t>
      </w:r>
    </w:p>
    <w:p w14:paraId="4F571B6C" w14:textId="77777777" w:rsidR="002C26D5" w:rsidRPr="002C26D5" w:rsidRDefault="002C26D5" w:rsidP="002C26D5">
      <w:pPr>
        <w:pStyle w:val="ListParagraph"/>
        <w:spacing w:line="276" w:lineRule="auto"/>
        <w:ind w:left="1080"/>
        <w:jc w:val="both"/>
        <w:rPr>
          <w:rFonts w:ascii="Century Gothic" w:hAnsi="Century Gothic"/>
          <w:sz w:val="22"/>
          <w:szCs w:val="22"/>
        </w:rPr>
      </w:pPr>
    </w:p>
    <w:p w14:paraId="4AD17D46" w14:textId="509F01D1" w:rsidR="002C26D5" w:rsidRDefault="002C26D5"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The sad death of Child T could not have been predicted by safeguarding agencies, yet there is learning for agencies and services arising from the review of the children’s </w:t>
      </w:r>
      <w:r w:rsidR="00AE201C">
        <w:rPr>
          <w:rFonts w:ascii="Century Gothic" w:hAnsi="Century Gothic"/>
          <w:sz w:val="22"/>
          <w:szCs w:val="22"/>
        </w:rPr>
        <w:t>circumstances</w:t>
      </w:r>
      <w:r>
        <w:rPr>
          <w:rFonts w:ascii="Century Gothic" w:hAnsi="Century Gothic"/>
          <w:sz w:val="22"/>
          <w:szCs w:val="22"/>
        </w:rPr>
        <w:t>.</w:t>
      </w:r>
    </w:p>
    <w:p w14:paraId="04FFCEA9" w14:textId="35143084" w:rsidR="002C26D5" w:rsidRDefault="002C26D5"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Vulnerable families who move </w:t>
      </w:r>
      <w:r w:rsidR="008F5341">
        <w:rPr>
          <w:rFonts w:ascii="Century Gothic" w:hAnsi="Century Gothic"/>
          <w:sz w:val="22"/>
          <w:szCs w:val="22"/>
        </w:rPr>
        <w:t xml:space="preserve">regularly </w:t>
      </w:r>
      <w:r>
        <w:rPr>
          <w:rFonts w:ascii="Century Gothic" w:hAnsi="Century Gothic"/>
          <w:sz w:val="22"/>
          <w:szCs w:val="22"/>
        </w:rPr>
        <w:t>between local authorities challenge local agencies</w:t>
      </w:r>
      <w:r w:rsidR="008F5341">
        <w:rPr>
          <w:rFonts w:ascii="Century Gothic" w:hAnsi="Century Gothic"/>
          <w:sz w:val="22"/>
          <w:szCs w:val="22"/>
        </w:rPr>
        <w:t xml:space="preserve"> to remain focused on the needs and risks of children. Accountability and responsibility for children transferring between local authorities requires proactive action from safeguarding professionals and their responsibilities need to be reinforced. </w:t>
      </w:r>
    </w:p>
    <w:p w14:paraId="120AAC5A" w14:textId="28E5B76A" w:rsidR="000D432C" w:rsidRPr="004049FB" w:rsidRDefault="00414271" w:rsidP="000F52FA">
      <w:pPr>
        <w:pStyle w:val="ListParagraph"/>
        <w:numPr>
          <w:ilvl w:val="1"/>
          <w:numId w:val="10"/>
        </w:numPr>
        <w:spacing w:line="276" w:lineRule="auto"/>
        <w:jc w:val="both"/>
        <w:rPr>
          <w:rFonts w:ascii="Century Gothic" w:hAnsi="Century Gothic"/>
          <w:sz w:val="22"/>
          <w:szCs w:val="22"/>
        </w:rPr>
      </w:pPr>
      <w:r w:rsidRPr="004049FB">
        <w:rPr>
          <w:rFonts w:ascii="Century Gothic" w:hAnsi="Century Gothic"/>
          <w:sz w:val="22"/>
          <w:szCs w:val="22"/>
        </w:rPr>
        <w:t>A lack of knowledge of children’s histories and the role of birth fathers</w:t>
      </w:r>
      <w:r w:rsidR="00634BA3" w:rsidRPr="004049FB">
        <w:rPr>
          <w:rFonts w:ascii="Century Gothic" w:hAnsi="Century Gothic"/>
          <w:sz w:val="22"/>
          <w:szCs w:val="22"/>
        </w:rPr>
        <w:t xml:space="preserve"> leads to </w:t>
      </w:r>
      <w:r w:rsidR="00B5220B" w:rsidRPr="004049FB">
        <w:rPr>
          <w:rFonts w:ascii="Century Gothic" w:hAnsi="Century Gothic"/>
          <w:sz w:val="22"/>
          <w:szCs w:val="22"/>
        </w:rPr>
        <w:t xml:space="preserve">no agency </w:t>
      </w:r>
      <w:r w:rsidR="004049FB">
        <w:rPr>
          <w:rFonts w:ascii="Century Gothic" w:hAnsi="Century Gothic"/>
          <w:sz w:val="22"/>
          <w:szCs w:val="22"/>
        </w:rPr>
        <w:t xml:space="preserve">fully </w:t>
      </w:r>
      <w:r w:rsidR="004049FB" w:rsidRPr="004049FB">
        <w:rPr>
          <w:rFonts w:ascii="Century Gothic" w:hAnsi="Century Gothic"/>
          <w:sz w:val="22"/>
          <w:szCs w:val="22"/>
        </w:rPr>
        <w:t>understanding</w:t>
      </w:r>
      <w:r w:rsidR="00B5220B" w:rsidRPr="004049FB">
        <w:rPr>
          <w:rFonts w:ascii="Century Gothic" w:hAnsi="Century Gothic"/>
          <w:sz w:val="22"/>
          <w:szCs w:val="22"/>
        </w:rPr>
        <w:t xml:space="preserve"> </w:t>
      </w:r>
      <w:r w:rsidRPr="004049FB">
        <w:rPr>
          <w:rFonts w:ascii="Century Gothic" w:hAnsi="Century Gothic"/>
          <w:sz w:val="22"/>
          <w:szCs w:val="22"/>
        </w:rPr>
        <w:t xml:space="preserve">the context of </w:t>
      </w:r>
      <w:r w:rsidR="00634BA3" w:rsidRPr="004049FB">
        <w:rPr>
          <w:rFonts w:ascii="Century Gothic" w:hAnsi="Century Gothic"/>
          <w:sz w:val="22"/>
          <w:szCs w:val="22"/>
        </w:rPr>
        <w:t xml:space="preserve">children’s </w:t>
      </w:r>
      <w:r w:rsidR="00B5220B" w:rsidRPr="004049FB">
        <w:rPr>
          <w:rFonts w:ascii="Century Gothic" w:hAnsi="Century Gothic"/>
          <w:sz w:val="22"/>
          <w:szCs w:val="22"/>
        </w:rPr>
        <w:t xml:space="preserve">risks and needs. </w:t>
      </w:r>
    </w:p>
    <w:p w14:paraId="7CF140C3" w14:textId="77777777" w:rsidR="00092F4F" w:rsidRDefault="00121188" w:rsidP="00F259EC">
      <w:pPr>
        <w:pStyle w:val="ListParagraph"/>
        <w:numPr>
          <w:ilvl w:val="1"/>
          <w:numId w:val="10"/>
        </w:numPr>
        <w:spacing w:line="276" w:lineRule="auto"/>
        <w:jc w:val="both"/>
        <w:rPr>
          <w:rFonts w:ascii="Century Gothic" w:hAnsi="Century Gothic"/>
          <w:sz w:val="22"/>
          <w:szCs w:val="22"/>
        </w:rPr>
      </w:pPr>
      <w:r w:rsidRPr="00092F4F">
        <w:rPr>
          <w:rFonts w:ascii="Century Gothic" w:hAnsi="Century Gothic"/>
          <w:sz w:val="22"/>
          <w:szCs w:val="22"/>
        </w:rPr>
        <w:t>The behaviour of y</w:t>
      </w:r>
      <w:r w:rsidR="00AE201C" w:rsidRPr="00092F4F">
        <w:rPr>
          <w:rFonts w:ascii="Century Gothic" w:hAnsi="Century Gothic"/>
          <w:sz w:val="22"/>
          <w:szCs w:val="22"/>
        </w:rPr>
        <w:t>oung</w:t>
      </w:r>
      <w:r w:rsidRPr="00092F4F">
        <w:rPr>
          <w:rFonts w:ascii="Century Gothic" w:hAnsi="Century Gothic"/>
          <w:sz w:val="22"/>
          <w:szCs w:val="22"/>
        </w:rPr>
        <w:t xml:space="preserve">, particularly pre-school </w:t>
      </w:r>
      <w:r w:rsidR="004049FB" w:rsidRPr="00092F4F">
        <w:rPr>
          <w:rFonts w:ascii="Century Gothic" w:hAnsi="Century Gothic"/>
          <w:sz w:val="22"/>
          <w:szCs w:val="22"/>
        </w:rPr>
        <w:t>child</w:t>
      </w:r>
      <w:r w:rsidRPr="00092F4F">
        <w:rPr>
          <w:rFonts w:ascii="Century Gothic" w:hAnsi="Century Gothic"/>
          <w:sz w:val="22"/>
          <w:szCs w:val="22"/>
        </w:rPr>
        <w:t>ren,</w:t>
      </w:r>
      <w:r w:rsidR="00B5220B" w:rsidRPr="00092F4F">
        <w:rPr>
          <w:rFonts w:ascii="Century Gothic" w:hAnsi="Century Gothic"/>
          <w:sz w:val="22"/>
          <w:szCs w:val="22"/>
        </w:rPr>
        <w:t xml:space="preserve"> </w:t>
      </w:r>
      <w:r w:rsidR="00634BA3" w:rsidRPr="00092F4F">
        <w:rPr>
          <w:rFonts w:ascii="Century Gothic" w:hAnsi="Century Gothic"/>
          <w:sz w:val="22"/>
          <w:szCs w:val="22"/>
        </w:rPr>
        <w:t xml:space="preserve">needs to </w:t>
      </w:r>
      <w:r w:rsidR="00B5220B" w:rsidRPr="00092F4F">
        <w:rPr>
          <w:rFonts w:ascii="Century Gothic" w:hAnsi="Century Gothic"/>
          <w:sz w:val="22"/>
          <w:szCs w:val="22"/>
        </w:rPr>
        <w:t xml:space="preserve">prompt further enquiry as to the </w:t>
      </w:r>
      <w:r w:rsidR="004049FB" w:rsidRPr="00092F4F">
        <w:rPr>
          <w:rFonts w:ascii="Century Gothic" w:hAnsi="Century Gothic"/>
          <w:sz w:val="22"/>
          <w:szCs w:val="22"/>
        </w:rPr>
        <w:t>reasons behind th</w:t>
      </w:r>
      <w:r w:rsidRPr="00092F4F">
        <w:rPr>
          <w:rFonts w:ascii="Century Gothic" w:hAnsi="Century Gothic"/>
          <w:sz w:val="22"/>
          <w:szCs w:val="22"/>
        </w:rPr>
        <w:t>ose</w:t>
      </w:r>
      <w:r w:rsidR="004049FB" w:rsidRPr="00092F4F">
        <w:rPr>
          <w:rFonts w:ascii="Century Gothic" w:hAnsi="Century Gothic"/>
          <w:sz w:val="22"/>
          <w:szCs w:val="22"/>
        </w:rPr>
        <w:t xml:space="preserve"> behaviours rather than addressing this through behaviour management. To do so </w:t>
      </w:r>
      <w:r w:rsidR="00870727" w:rsidRPr="00092F4F">
        <w:rPr>
          <w:rFonts w:ascii="Century Gothic" w:hAnsi="Century Gothic"/>
          <w:sz w:val="22"/>
          <w:szCs w:val="22"/>
        </w:rPr>
        <w:t>supports a better understanding of a child’s trauma</w:t>
      </w:r>
      <w:r w:rsidR="00092F4F" w:rsidRPr="00092F4F">
        <w:rPr>
          <w:rFonts w:ascii="Century Gothic" w:hAnsi="Century Gothic"/>
          <w:sz w:val="22"/>
          <w:szCs w:val="22"/>
        </w:rPr>
        <w:t xml:space="preserve">. </w:t>
      </w:r>
    </w:p>
    <w:p w14:paraId="7EED66E8" w14:textId="540C74FF" w:rsidR="00B5220B" w:rsidRPr="00092F4F" w:rsidRDefault="00870727" w:rsidP="00F259EC">
      <w:pPr>
        <w:pStyle w:val="ListParagraph"/>
        <w:numPr>
          <w:ilvl w:val="1"/>
          <w:numId w:val="10"/>
        </w:numPr>
        <w:spacing w:line="276" w:lineRule="auto"/>
        <w:jc w:val="both"/>
        <w:rPr>
          <w:rFonts w:ascii="Century Gothic" w:hAnsi="Century Gothic"/>
          <w:sz w:val="22"/>
          <w:szCs w:val="22"/>
        </w:rPr>
      </w:pPr>
      <w:r w:rsidRPr="00092F4F">
        <w:rPr>
          <w:rFonts w:ascii="Century Gothic" w:hAnsi="Century Gothic"/>
          <w:sz w:val="22"/>
          <w:szCs w:val="22"/>
        </w:rPr>
        <w:t xml:space="preserve">The </w:t>
      </w:r>
      <w:r w:rsidR="007D2DFC" w:rsidRPr="00092F4F">
        <w:rPr>
          <w:rFonts w:ascii="Century Gothic" w:hAnsi="Century Gothic"/>
          <w:sz w:val="22"/>
          <w:szCs w:val="22"/>
        </w:rPr>
        <w:t>ability</w:t>
      </w:r>
      <w:r w:rsidR="000D432C" w:rsidRPr="00092F4F">
        <w:rPr>
          <w:rFonts w:ascii="Century Gothic" w:hAnsi="Century Gothic"/>
          <w:sz w:val="22"/>
          <w:szCs w:val="22"/>
        </w:rPr>
        <w:t xml:space="preserve"> of parents</w:t>
      </w:r>
      <w:r w:rsidRPr="00092F4F">
        <w:rPr>
          <w:rFonts w:ascii="Century Gothic" w:hAnsi="Century Gothic"/>
          <w:sz w:val="22"/>
          <w:szCs w:val="22"/>
        </w:rPr>
        <w:t xml:space="preserve"> to make use of interventions must be considered in the context of their own childhood experience and current trauma. </w:t>
      </w:r>
      <w:r w:rsidR="000D432C" w:rsidRPr="00092F4F">
        <w:rPr>
          <w:rFonts w:ascii="Century Gothic" w:hAnsi="Century Gothic"/>
          <w:sz w:val="22"/>
          <w:szCs w:val="22"/>
        </w:rPr>
        <w:t xml:space="preserve"> </w:t>
      </w:r>
    </w:p>
    <w:p w14:paraId="136A80DD" w14:textId="022BBCEE" w:rsidR="000D432C" w:rsidRDefault="009775D0"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Children’s experience of domestic abuse needs to be better understood by all practitioners who meet them. </w:t>
      </w:r>
    </w:p>
    <w:p w14:paraId="7B85126F" w14:textId="675477BE" w:rsidR="009775D0" w:rsidRDefault="0054600C"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lastRenderedPageBreak/>
        <w:t>Professionals need to be</w:t>
      </w:r>
      <w:r w:rsidR="00F16A9D">
        <w:rPr>
          <w:rFonts w:ascii="Century Gothic" w:hAnsi="Century Gothic"/>
          <w:sz w:val="22"/>
          <w:szCs w:val="22"/>
        </w:rPr>
        <w:t xml:space="preserve"> aware </w:t>
      </w:r>
      <w:r>
        <w:rPr>
          <w:rFonts w:ascii="Century Gothic" w:hAnsi="Century Gothic"/>
          <w:sz w:val="22"/>
          <w:szCs w:val="22"/>
        </w:rPr>
        <w:t>of</w:t>
      </w:r>
      <w:r w:rsidR="00370C52">
        <w:rPr>
          <w:rFonts w:ascii="Century Gothic" w:hAnsi="Century Gothic"/>
          <w:sz w:val="22"/>
          <w:szCs w:val="22"/>
        </w:rPr>
        <w:t xml:space="preserve"> </w:t>
      </w:r>
      <w:r>
        <w:rPr>
          <w:rFonts w:ascii="Century Gothic" w:hAnsi="Century Gothic"/>
          <w:sz w:val="22"/>
          <w:szCs w:val="22"/>
        </w:rPr>
        <w:t>their own bias and judgements of risk when working with adults in domestically abusive relationships</w:t>
      </w:r>
      <w:r w:rsidR="00F16A9D">
        <w:rPr>
          <w:rFonts w:ascii="Century Gothic" w:hAnsi="Century Gothic"/>
          <w:sz w:val="22"/>
          <w:szCs w:val="22"/>
        </w:rPr>
        <w:t>.</w:t>
      </w:r>
      <w:r w:rsidR="00121188">
        <w:rPr>
          <w:rFonts w:ascii="Century Gothic" w:hAnsi="Century Gothic"/>
          <w:sz w:val="22"/>
          <w:szCs w:val="22"/>
        </w:rPr>
        <w:t xml:space="preserve"> </w:t>
      </w:r>
      <w:r w:rsidR="0050604C">
        <w:rPr>
          <w:rFonts w:ascii="Century Gothic" w:hAnsi="Century Gothic"/>
          <w:sz w:val="22"/>
          <w:szCs w:val="22"/>
        </w:rPr>
        <w:t>Perpetrators of abuse can invoke strong feelings in professionals and this</w:t>
      </w:r>
      <w:r w:rsidR="00121188">
        <w:rPr>
          <w:rFonts w:ascii="Century Gothic" w:hAnsi="Century Gothic"/>
          <w:sz w:val="22"/>
          <w:szCs w:val="22"/>
        </w:rPr>
        <w:t xml:space="preserve"> needs to be regularly considered in robust case work supervision and how it influences thinking and judgment.</w:t>
      </w:r>
      <w:r w:rsidR="0050604C">
        <w:rPr>
          <w:rFonts w:ascii="Century Gothic" w:hAnsi="Century Gothic"/>
          <w:sz w:val="22"/>
          <w:szCs w:val="22"/>
        </w:rPr>
        <w:t xml:space="preserve"> </w:t>
      </w:r>
      <w:r w:rsidR="00020F72">
        <w:rPr>
          <w:rFonts w:ascii="Century Gothic" w:hAnsi="Century Gothic"/>
          <w:sz w:val="22"/>
          <w:szCs w:val="22"/>
        </w:rPr>
        <w:t>Supervision should be the safe vehicle to explore such issues and provide challenge and support to thinking and planning. Equally, p</w:t>
      </w:r>
      <w:r w:rsidR="00121188">
        <w:rPr>
          <w:rFonts w:ascii="Century Gothic" w:hAnsi="Century Gothic"/>
          <w:sz w:val="22"/>
          <w:szCs w:val="22"/>
        </w:rPr>
        <w:t xml:space="preserve">arenting capacity and the impact of domestic abuse on survivors </w:t>
      </w:r>
      <w:r w:rsidR="00020F72">
        <w:rPr>
          <w:rFonts w:ascii="Century Gothic" w:hAnsi="Century Gothic"/>
          <w:sz w:val="22"/>
          <w:szCs w:val="22"/>
        </w:rPr>
        <w:t xml:space="preserve">parenting </w:t>
      </w:r>
      <w:r w:rsidR="00121188">
        <w:rPr>
          <w:rFonts w:ascii="Century Gothic" w:hAnsi="Century Gothic"/>
          <w:sz w:val="22"/>
          <w:szCs w:val="22"/>
        </w:rPr>
        <w:t xml:space="preserve">needs to be considered </w:t>
      </w:r>
      <w:r w:rsidR="00F16A9D">
        <w:rPr>
          <w:rFonts w:ascii="Century Gothic" w:hAnsi="Century Gothic"/>
          <w:sz w:val="22"/>
          <w:szCs w:val="22"/>
        </w:rPr>
        <w:t xml:space="preserve">alongside the support </w:t>
      </w:r>
      <w:r w:rsidR="00020F72">
        <w:rPr>
          <w:rFonts w:ascii="Century Gothic" w:hAnsi="Century Gothic"/>
          <w:sz w:val="22"/>
          <w:szCs w:val="22"/>
        </w:rPr>
        <w:t xml:space="preserve">those survivors need. </w:t>
      </w:r>
      <w:r w:rsidR="00F16A9D">
        <w:rPr>
          <w:rFonts w:ascii="Century Gothic" w:hAnsi="Century Gothic"/>
          <w:sz w:val="22"/>
          <w:szCs w:val="22"/>
        </w:rPr>
        <w:t xml:space="preserve"> </w:t>
      </w:r>
    </w:p>
    <w:p w14:paraId="4653AF05" w14:textId="231F6ACF" w:rsidR="00B5220B" w:rsidRDefault="00B5220B"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Children’s need to be separately assessed </w:t>
      </w:r>
      <w:r w:rsidR="00F16A9D">
        <w:rPr>
          <w:rFonts w:ascii="Century Gothic" w:hAnsi="Century Gothic"/>
          <w:sz w:val="22"/>
          <w:szCs w:val="22"/>
        </w:rPr>
        <w:t xml:space="preserve">from the needs of their birth parent </w:t>
      </w:r>
      <w:r>
        <w:rPr>
          <w:rFonts w:ascii="Century Gothic" w:hAnsi="Century Gothic"/>
          <w:sz w:val="22"/>
          <w:szCs w:val="22"/>
        </w:rPr>
        <w:t xml:space="preserve">when they move to </w:t>
      </w:r>
      <w:r w:rsidR="00294E3B">
        <w:rPr>
          <w:rFonts w:ascii="Century Gothic" w:hAnsi="Century Gothic"/>
          <w:sz w:val="22"/>
          <w:szCs w:val="22"/>
        </w:rPr>
        <w:t>r</w:t>
      </w:r>
      <w:r>
        <w:rPr>
          <w:rFonts w:ascii="Century Gothic" w:hAnsi="Century Gothic"/>
          <w:sz w:val="22"/>
          <w:szCs w:val="22"/>
        </w:rPr>
        <w:t>efuge</w:t>
      </w:r>
      <w:r w:rsidR="00294E3B">
        <w:rPr>
          <w:rFonts w:ascii="Century Gothic" w:hAnsi="Century Gothic"/>
          <w:sz w:val="22"/>
          <w:szCs w:val="22"/>
        </w:rPr>
        <w:t xml:space="preserve"> accommodation</w:t>
      </w:r>
      <w:r w:rsidR="00F16A9D">
        <w:rPr>
          <w:rFonts w:ascii="Century Gothic" w:hAnsi="Century Gothic"/>
          <w:sz w:val="22"/>
          <w:szCs w:val="22"/>
        </w:rPr>
        <w:t xml:space="preserve">. </w:t>
      </w:r>
      <w:r>
        <w:rPr>
          <w:rFonts w:ascii="Century Gothic" w:hAnsi="Century Gothic"/>
          <w:sz w:val="22"/>
          <w:szCs w:val="22"/>
        </w:rPr>
        <w:t xml:space="preserve">Children’s </w:t>
      </w:r>
      <w:r w:rsidR="000D432C">
        <w:rPr>
          <w:rFonts w:ascii="Century Gothic" w:hAnsi="Century Gothic"/>
          <w:sz w:val="22"/>
          <w:szCs w:val="22"/>
        </w:rPr>
        <w:t>social care</w:t>
      </w:r>
      <w:r>
        <w:rPr>
          <w:rFonts w:ascii="Century Gothic" w:hAnsi="Century Gothic"/>
          <w:sz w:val="22"/>
          <w:szCs w:val="22"/>
        </w:rPr>
        <w:t xml:space="preserve"> need to be proactive in informing their colleagues of family’s moves and reassure themselves that accountability for the children’s case is clear. </w:t>
      </w:r>
    </w:p>
    <w:p w14:paraId="719BF904" w14:textId="276CCB2B" w:rsidR="00B5220B" w:rsidRDefault="00B5220B"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Safeguarding agencies need to reinforce information sharing and communication both within agencies and between agencies. The voluntary and community sector </w:t>
      </w:r>
      <w:r w:rsidR="007F37EF">
        <w:rPr>
          <w:rFonts w:ascii="Century Gothic" w:hAnsi="Century Gothic"/>
          <w:sz w:val="22"/>
          <w:szCs w:val="22"/>
        </w:rPr>
        <w:t xml:space="preserve">and statutory safeguarding agencies </w:t>
      </w:r>
      <w:r>
        <w:rPr>
          <w:rFonts w:ascii="Century Gothic" w:hAnsi="Century Gothic"/>
          <w:sz w:val="22"/>
          <w:szCs w:val="22"/>
        </w:rPr>
        <w:t xml:space="preserve">need to take a proactive role in ensuring </w:t>
      </w:r>
      <w:r w:rsidR="009775D0">
        <w:rPr>
          <w:rFonts w:ascii="Century Gothic" w:hAnsi="Century Gothic"/>
          <w:sz w:val="22"/>
          <w:szCs w:val="22"/>
        </w:rPr>
        <w:t>they join up</w:t>
      </w:r>
      <w:r w:rsidR="007F37EF">
        <w:rPr>
          <w:rFonts w:ascii="Century Gothic" w:hAnsi="Century Gothic"/>
          <w:sz w:val="22"/>
          <w:szCs w:val="22"/>
        </w:rPr>
        <w:t xml:space="preserve">. </w:t>
      </w:r>
      <w:r w:rsidR="009775D0">
        <w:rPr>
          <w:rFonts w:ascii="Century Gothic" w:hAnsi="Century Gothic"/>
          <w:sz w:val="22"/>
          <w:szCs w:val="22"/>
        </w:rPr>
        <w:t xml:space="preserve"> </w:t>
      </w:r>
    </w:p>
    <w:p w14:paraId="7626AE06" w14:textId="1DD11CC9" w:rsidR="00370C52" w:rsidRDefault="00370C52"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Children’s s</w:t>
      </w:r>
      <w:r w:rsidR="000D432C">
        <w:rPr>
          <w:rFonts w:ascii="Century Gothic" w:hAnsi="Century Gothic"/>
          <w:sz w:val="22"/>
          <w:szCs w:val="22"/>
        </w:rPr>
        <w:t>ocial care</w:t>
      </w:r>
      <w:r>
        <w:rPr>
          <w:rFonts w:ascii="Century Gothic" w:hAnsi="Century Gothic"/>
          <w:sz w:val="22"/>
          <w:szCs w:val="22"/>
        </w:rPr>
        <w:t xml:space="preserve"> need to review their arrangements for closure of children’s cases owing to non-engagement with the plan. These judgements, whilst appearing appropriate management of workload, should consider the risks associated with such a decision based on the history of the children’s circumstances.</w:t>
      </w:r>
    </w:p>
    <w:p w14:paraId="2AFD2BAD" w14:textId="407D2496" w:rsidR="00370C52" w:rsidRDefault="00370C52"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Integrated chronologies hold considerable value in fully understanding a child’s risks and needs. </w:t>
      </w:r>
      <w:r w:rsidR="0054600C">
        <w:rPr>
          <w:rFonts w:ascii="Century Gothic" w:hAnsi="Century Gothic"/>
          <w:sz w:val="22"/>
          <w:szCs w:val="22"/>
        </w:rPr>
        <w:t xml:space="preserve">Local Child Safeguarding Practice Reviews should not be the only opportunity to pull together integrated chronologies. Equally, this information should be shared when children move home. </w:t>
      </w:r>
    </w:p>
    <w:p w14:paraId="1BF1712D" w14:textId="3EF4D400" w:rsidR="00CD6EE3" w:rsidRPr="00091960" w:rsidRDefault="002E1C2F"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Survivors of domestic abuse</w:t>
      </w:r>
      <w:r w:rsidR="00CD6EE3" w:rsidRPr="00091960">
        <w:rPr>
          <w:rFonts w:ascii="Century Gothic" w:hAnsi="Century Gothic"/>
          <w:sz w:val="22"/>
          <w:szCs w:val="22"/>
        </w:rPr>
        <w:t xml:space="preserve"> who leave their family homes and flee to refuge accommodation do so with very little or nothing. When it comes to them being rehoused from the refuge, </w:t>
      </w:r>
      <w:r>
        <w:rPr>
          <w:rFonts w:ascii="Century Gothic" w:hAnsi="Century Gothic"/>
          <w:sz w:val="22"/>
          <w:szCs w:val="22"/>
        </w:rPr>
        <w:t>survivors</w:t>
      </w:r>
      <w:r w:rsidR="00CD6EE3" w:rsidRPr="00091960">
        <w:rPr>
          <w:rFonts w:ascii="Century Gothic" w:hAnsi="Century Gothic"/>
          <w:sz w:val="22"/>
          <w:szCs w:val="22"/>
        </w:rPr>
        <w:t xml:space="preserve"> are faced with having to move to a new property at very short notice. Grants </w:t>
      </w:r>
      <w:r w:rsidR="00091960" w:rsidRPr="00091960">
        <w:rPr>
          <w:rFonts w:ascii="Century Gothic" w:hAnsi="Century Gothic"/>
          <w:sz w:val="22"/>
          <w:szCs w:val="22"/>
        </w:rPr>
        <w:t>and donations</w:t>
      </w:r>
      <w:r w:rsidR="00CD6EE3" w:rsidRPr="00091960">
        <w:rPr>
          <w:rFonts w:ascii="Century Gothic" w:hAnsi="Century Gothic"/>
          <w:sz w:val="22"/>
          <w:szCs w:val="22"/>
        </w:rPr>
        <w:t xml:space="preserve"> of </w:t>
      </w:r>
      <w:r w:rsidR="00091960" w:rsidRPr="00091960">
        <w:rPr>
          <w:rFonts w:ascii="Century Gothic" w:hAnsi="Century Gothic"/>
          <w:sz w:val="22"/>
          <w:szCs w:val="22"/>
        </w:rPr>
        <w:t>second-hand</w:t>
      </w:r>
      <w:r w:rsidR="00CD6EE3" w:rsidRPr="00091960">
        <w:rPr>
          <w:rFonts w:ascii="Century Gothic" w:hAnsi="Century Gothic"/>
          <w:sz w:val="22"/>
          <w:szCs w:val="22"/>
        </w:rPr>
        <w:t xml:space="preserve"> furniture are the norm to furnish their new properties. </w:t>
      </w:r>
      <w:r w:rsidR="00091960" w:rsidRPr="00091960">
        <w:rPr>
          <w:rFonts w:ascii="Century Gothic" w:hAnsi="Century Gothic"/>
          <w:sz w:val="22"/>
          <w:szCs w:val="22"/>
        </w:rPr>
        <w:t xml:space="preserve">It is therefore not unreasonable to consider whether a housing risk assessment should be undertaken for </w:t>
      </w:r>
      <w:r>
        <w:rPr>
          <w:rFonts w:ascii="Century Gothic" w:hAnsi="Century Gothic"/>
          <w:sz w:val="22"/>
          <w:szCs w:val="22"/>
        </w:rPr>
        <w:t>survivors</w:t>
      </w:r>
      <w:r w:rsidR="00091960" w:rsidRPr="00091960">
        <w:rPr>
          <w:rFonts w:ascii="Century Gothic" w:hAnsi="Century Gothic"/>
          <w:sz w:val="22"/>
          <w:szCs w:val="22"/>
        </w:rPr>
        <w:t xml:space="preserve"> moving from refuge</w:t>
      </w:r>
      <w:r w:rsidR="00091960">
        <w:rPr>
          <w:rFonts w:ascii="Century Gothic" w:hAnsi="Century Gothic"/>
          <w:sz w:val="22"/>
          <w:szCs w:val="22"/>
        </w:rPr>
        <w:t xml:space="preserve"> accommodation</w:t>
      </w:r>
      <w:r w:rsidR="00091960" w:rsidRPr="00091960">
        <w:rPr>
          <w:rFonts w:ascii="Century Gothic" w:hAnsi="Century Gothic"/>
          <w:sz w:val="22"/>
          <w:szCs w:val="22"/>
        </w:rPr>
        <w:t xml:space="preserve">, to ensure that the property and furnishings meet expected standards and </w:t>
      </w:r>
      <w:r w:rsidR="00091960">
        <w:rPr>
          <w:rFonts w:ascii="Century Gothic" w:hAnsi="Century Gothic"/>
          <w:sz w:val="22"/>
          <w:szCs w:val="22"/>
        </w:rPr>
        <w:t xml:space="preserve">are </w:t>
      </w:r>
      <w:r w:rsidR="00091960" w:rsidRPr="00091960">
        <w:rPr>
          <w:rFonts w:ascii="Century Gothic" w:hAnsi="Century Gothic"/>
          <w:sz w:val="22"/>
          <w:szCs w:val="22"/>
        </w:rPr>
        <w:t xml:space="preserve">considered safe for children. </w:t>
      </w:r>
      <w:r w:rsidR="00CD6EE3" w:rsidRPr="00091960">
        <w:rPr>
          <w:rFonts w:ascii="Century Gothic" w:hAnsi="Century Gothic"/>
          <w:sz w:val="22"/>
          <w:szCs w:val="22"/>
        </w:rPr>
        <w:t xml:space="preserve"> </w:t>
      </w:r>
    </w:p>
    <w:p w14:paraId="73D4A6A7" w14:textId="1797F9AD" w:rsidR="009775D0" w:rsidRDefault="00370C52" w:rsidP="00536B74">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The safe use of bed guards needs to be added to the safe sleeping messages from safeguarding partnerships. </w:t>
      </w:r>
      <w:r w:rsidR="003447EA">
        <w:rPr>
          <w:rFonts w:ascii="Century Gothic" w:hAnsi="Century Gothic"/>
          <w:sz w:val="22"/>
          <w:szCs w:val="22"/>
        </w:rPr>
        <w:t xml:space="preserve">Suitable sleeping arrangements for children should be part of all </w:t>
      </w:r>
      <w:r w:rsidR="007460D5">
        <w:rPr>
          <w:rFonts w:ascii="Century Gothic" w:hAnsi="Century Gothic"/>
          <w:sz w:val="22"/>
          <w:szCs w:val="22"/>
        </w:rPr>
        <w:t>professional’s</w:t>
      </w:r>
      <w:r w:rsidR="003447EA">
        <w:rPr>
          <w:rFonts w:ascii="Century Gothic" w:hAnsi="Century Gothic"/>
          <w:sz w:val="22"/>
          <w:szCs w:val="22"/>
        </w:rPr>
        <w:t xml:space="preserve"> assessment when working with vulnerable families. </w:t>
      </w:r>
      <w:r w:rsidR="00634BA3">
        <w:rPr>
          <w:rFonts w:ascii="Century Gothic" w:hAnsi="Century Gothic"/>
          <w:sz w:val="22"/>
          <w:szCs w:val="22"/>
        </w:rPr>
        <w:t xml:space="preserve">Safeguarding partnerships need to ensure the </w:t>
      </w:r>
      <w:r w:rsidR="0035586D">
        <w:rPr>
          <w:rFonts w:ascii="Century Gothic" w:hAnsi="Century Gothic"/>
          <w:sz w:val="22"/>
          <w:szCs w:val="22"/>
        </w:rPr>
        <w:t xml:space="preserve">learning </w:t>
      </w:r>
      <w:r w:rsidR="00634BA3">
        <w:rPr>
          <w:rFonts w:ascii="Century Gothic" w:hAnsi="Century Gothic"/>
          <w:sz w:val="22"/>
          <w:szCs w:val="22"/>
        </w:rPr>
        <w:t xml:space="preserve">from the National Child Safeguarding Practice Review Panel’s recent report into sudden unexpected death in infancy are shared widely. </w:t>
      </w:r>
    </w:p>
    <w:p w14:paraId="145CB517" w14:textId="29CF91D7" w:rsidR="0035586D" w:rsidRDefault="007460D5" w:rsidP="0035586D">
      <w:pPr>
        <w:pStyle w:val="ListParagraph"/>
        <w:numPr>
          <w:ilvl w:val="1"/>
          <w:numId w:val="10"/>
        </w:numPr>
        <w:spacing w:line="276" w:lineRule="auto"/>
        <w:jc w:val="both"/>
        <w:rPr>
          <w:rFonts w:ascii="Century Gothic" w:hAnsi="Century Gothic"/>
          <w:sz w:val="22"/>
          <w:szCs w:val="22"/>
        </w:rPr>
      </w:pPr>
      <w:r>
        <w:rPr>
          <w:rFonts w:ascii="Century Gothic" w:hAnsi="Century Gothic"/>
          <w:sz w:val="22"/>
          <w:szCs w:val="22"/>
        </w:rPr>
        <w:t xml:space="preserve">COVID-19 prevented </w:t>
      </w:r>
      <w:r w:rsidR="00634BA3">
        <w:rPr>
          <w:rFonts w:ascii="Century Gothic" w:hAnsi="Century Gothic"/>
          <w:sz w:val="22"/>
          <w:szCs w:val="22"/>
        </w:rPr>
        <w:t xml:space="preserve">agencies </w:t>
      </w:r>
      <w:r>
        <w:rPr>
          <w:rFonts w:ascii="Century Gothic" w:hAnsi="Century Gothic"/>
          <w:sz w:val="22"/>
          <w:szCs w:val="22"/>
        </w:rPr>
        <w:t>from visiting family home</w:t>
      </w:r>
      <w:r w:rsidR="00634BA3">
        <w:rPr>
          <w:rFonts w:ascii="Century Gothic" w:hAnsi="Century Gothic"/>
          <w:sz w:val="22"/>
          <w:szCs w:val="22"/>
        </w:rPr>
        <w:t>s</w:t>
      </w:r>
      <w:r>
        <w:rPr>
          <w:rFonts w:ascii="Century Gothic" w:hAnsi="Century Gothic"/>
          <w:sz w:val="22"/>
          <w:szCs w:val="22"/>
        </w:rPr>
        <w:t>. The use of video and social media applications that enable video calling should be encouraged when it may be challenging to visit family homes</w:t>
      </w:r>
      <w:r w:rsidR="007F37EF">
        <w:rPr>
          <w:rFonts w:ascii="Century Gothic" w:hAnsi="Century Gothic"/>
          <w:sz w:val="22"/>
          <w:szCs w:val="22"/>
        </w:rPr>
        <w:t xml:space="preserve"> and as a way of seeing children’s living environments. </w:t>
      </w:r>
    </w:p>
    <w:p w14:paraId="695F998A" w14:textId="160C3043" w:rsidR="0035586D" w:rsidRDefault="0035586D" w:rsidP="0035586D">
      <w:pPr>
        <w:pStyle w:val="ListParagraph"/>
        <w:numPr>
          <w:ilvl w:val="0"/>
          <w:numId w:val="10"/>
        </w:numPr>
        <w:spacing w:line="276" w:lineRule="auto"/>
        <w:jc w:val="both"/>
        <w:rPr>
          <w:rFonts w:ascii="Century Gothic" w:hAnsi="Century Gothic"/>
          <w:b/>
          <w:bCs/>
          <w:sz w:val="22"/>
          <w:szCs w:val="22"/>
        </w:rPr>
      </w:pPr>
      <w:r w:rsidRPr="0035586D">
        <w:rPr>
          <w:rFonts w:ascii="Century Gothic" w:hAnsi="Century Gothic"/>
          <w:b/>
          <w:bCs/>
          <w:sz w:val="22"/>
          <w:szCs w:val="22"/>
        </w:rPr>
        <w:lastRenderedPageBreak/>
        <w:t xml:space="preserve">Summary of learning </w:t>
      </w:r>
    </w:p>
    <w:p w14:paraId="6CA4269F" w14:textId="77777777" w:rsidR="00715DC0" w:rsidRPr="0035586D" w:rsidRDefault="00715DC0" w:rsidP="00715DC0">
      <w:pPr>
        <w:pStyle w:val="ListParagraph"/>
        <w:spacing w:line="276" w:lineRule="auto"/>
        <w:jc w:val="both"/>
        <w:rPr>
          <w:rFonts w:ascii="Century Gothic" w:hAnsi="Century Gothic"/>
          <w:b/>
          <w:bCs/>
          <w:sz w:val="22"/>
          <w:szCs w:val="22"/>
        </w:rPr>
      </w:pPr>
    </w:p>
    <w:p w14:paraId="5DBFF5C5" w14:textId="3BFF324F" w:rsidR="007A6D48"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There should be e</w:t>
      </w:r>
      <w:r w:rsidR="0035586D">
        <w:rPr>
          <w:rFonts w:ascii="Century Gothic" w:hAnsi="Century Gothic"/>
          <w:sz w:val="22"/>
          <w:szCs w:val="22"/>
        </w:rPr>
        <w:t>ffective and appropriate transfer of children’s cases between safeguarding agencies and implementation of escalation routes between local authorities if this is not achieved.</w:t>
      </w:r>
    </w:p>
    <w:p w14:paraId="4839C21D" w14:textId="471DBB8D" w:rsidR="00701938" w:rsidRDefault="00701938"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Children’s cultural and ethnic backgrounds should always be considered in assessments and care planning. </w:t>
      </w:r>
    </w:p>
    <w:p w14:paraId="5A31A61E" w14:textId="0780538E" w:rsidR="00EE0311"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The voluntary sector, including specialist domestic abuse services, have a key role to play in supporting vulnerable families and should be part of safeguarding partnership arrangements. </w:t>
      </w:r>
    </w:p>
    <w:p w14:paraId="11A307EE" w14:textId="6B13FD54" w:rsidR="0035586D"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All professionals need to r</w:t>
      </w:r>
      <w:r w:rsidR="0035586D">
        <w:rPr>
          <w:rFonts w:ascii="Century Gothic" w:hAnsi="Century Gothic"/>
          <w:sz w:val="22"/>
          <w:szCs w:val="22"/>
        </w:rPr>
        <w:t xml:space="preserve">ecognise the impact of trauma </w:t>
      </w:r>
      <w:r w:rsidR="00862322">
        <w:rPr>
          <w:rFonts w:ascii="Century Gothic" w:hAnsi="Century Gothic"/>
          <w:sz w:val="22"/>
          <w:szCs w:val="22"/>
        </w:rPr>
        <w:t xml:space="preserve">experienced </w:t>
      </w:r>
      <w:r w:rsidR="008E4F1A">
        <w:rPr>
          <w:rFonts w:ascii="Century Gothic" w:hAnsi="Century Gothic"/>
          <w:sz w:val="22"/>
          <w:szCs w:val="22"/>
        </w:rPr>
        <w:t>by parents</w:t>
      </w:r>
      <w:r>
        <w:rPr>
          <w:rFonts w:ascii="Century Gothic" w:hAnsi="Century Gothic"/>
          <w:sz w:val="22"/>
          <w:szCs w:val="22"/>
        </w:rPr>
        <w:t xml:space="preserve"> </w:t>
      </w:r>
      <w:r w:rsidR="00862322">
        <w:rPr>
          <w:rFonts w:ascii="Century Gothic" w:hAnsi="Century Gothic"/>
          <w:sz w:val="22"/>
          <w:szCs w:val="22"/>
        </w:rPr>
        <w:t>can have on their</w:t>
      </w:r>
      <w:r>
        <w:rPr>
          <w:rFonts w:ascii="Century Gothic" w:hAnsi="Century Gothic"/>
          <w:sz w:val="22"/>
          <w:szCs w:val="22"/>
        </w:rPr>
        <w:t xml:space="preserve"> ability</w:t>
      </w:r>
      <w:r w:rsidR="00862322">
        <w:rPr>
          <w:rFonts w:ascii="Century Gothic" w:hAnsi="Century Gothic"/>
          <w:sz w:val="22"/>
          <w:szCs w:val="22"/>
        </w:rPr>
        <w:t xml:space="preserve"> and </w:t>
      </w:r>
      <w:r w:rsidR="008E4F1A">
        <w:rPr>
          <w:rFonts w:ascii="Century Gothic" w:hAnsi="Century Gothic"/>
          <w:sz w:val="22"/>
          <w:szCs w:val="22"/>
        </w:rPr>
        <w:t>availability</w:t>
      </w:r>
      <w:r>
        <w:rPr>
          <w:rFonts w:ascii="Century Gothic" w:hAnsi="Century Gothic"/>
          <w:sz w:val="22"/>
          <w:szCs w:val="22"/>
        </w:rPr>
        <w:t xml:space="preserve"> </w:t>
      </w:r>
      <w:r w:rsidR="0035586D">
        <w:rPr>
          <w:rFonts w:ascii="Century Gothic" w:hAnsi="Century Gothic"/>
          <w:sz w:val="22"/>
          <w:szCs w:val="22"/>
        </w:rPr>
        <w:t>to</w:t>
      </w:r>
      <w:r>
        <w:rPr>
          <w:rFonts w:ascii="Century Gothic" w:hAnsi="Century Gothic"/>
          <w:sz w:val="22"/>
          <w:szCs w:val="22"/>
        </w:rPr>
        <w:t xml:space="preserve"> then focus on the needs of their own children. </w:t>
      </w:r>
    </w:p>
    <w:p w14:paraId="2C81D03B" w14:textId="295308D8" w:rsidR="0035586D"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Professional</w:t>
      </w:r>
      <w:r w:rsidR="00701938">
        <w:rPr>
          <w:rFonts w:ascii="Century Gothic" w:hAnsi="Century Gothic"/>
          <w:sz w:val="22"/>
          <w:szCs w:val="22"/>
        </w:rPr>
        <w:t>s</w:t>
      </w:r>
      <w:r>
        <w:rPr>
          <w:rFonts w:ascii="Century Gothic" w:hAnsi="Century Gothic"/>
          <w:sz w:val="22"/>
          <w:szCs w:val="22"/>
        </w:rPr>
        <w:t xml:space="preserve"> need to fully understand </w:t>
      </w:r>
      <w:r w:rsidR="0035586D">
        <w:rPr>
          <w:rFonts w:ascii="Century Gothic" w:hAnsi="Century Gothic"/>
          <w:sz w:val="22"/>
          <w:szCs w:val="22"/>
        </w:rPr>
        <w:t xml:space="preserve">the role and importance of </w:t>
      </w:r>
      <w:r>
        <w:rPr>
          <w:rFonts w:ascii="Century Gothic" w:hAnsi="Century Gothic"/>
          <w:sz w:val="22"/>
          <w:szCs w:val="22"/>
        </w:rPr>
        <w:t xml:space="preserve">absent or non-resident </w:t>
      </w:r>
      <w:r w:rsidR="0035586D">
        <w:rPr>
          <w:rFonts w:ascii="Century Gothic" w:hAnsi="Century Gothic"/>
          <w:sz w:val="22"/>
          <w:szCs w:val="22"/>
        </w:rPr>
        <w:t xml:space="preserve">birth fathers in children’s lives. </w:t>
      </w:r>
    </w:p>
    <w:p w14:paraId="162FD9B3" w14:textId="745E18E3" w:rsidR="0035586D" w:rsidRDefault="0035586D"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Assessments of children should be undertaken </w:t>
      </w:r>
      <w:r w:rsidR="008E4F1A">
        <w:rPr>
          <w:rFonts w:ascii="Century Gothic" w:hAnsi="Century Gothic"/>
          <w:sz w:val="22"/>
          <w:szCs w:val="22"/>
        </w:rPr>
        <w:t xml:space="preserve">alongside the provision of services and interventions </w:t>
      </w:r>
      <w:r>
        <w:rPr>
          <w:rFonts w:ascii="Century Gothic" w:hAnsi="Century Gothic"/>
          <w:sz w:val="22"/>
          <w:szCs w:val="22"/>
        </w:rPr>
        <w:t>to ensure th</w:t>
      </w:r>
      <w:r w:rsidR="00EE0311">
        <w:rPr>
          <w:rFonts w:ascii="Century Gothic" w:hAnsi="Century Gothic"/>
          <w:sz w:val="22"/>
          <w:szCs w:val="22"/>
        </w:rPr>
        <w:t>ose services</w:t>
      </w:r>
      <w:r>
        <w:rPr>
          <w:rFonts w:ascii="Century Gothic" w:hAnsi="Century Gothic"/>
          <w:sz w:val="22"/>
          <w:szCs w:val="22"/>
        </w:rPr>
        <w:t xml:space="preserve"> are </w:t>
      </w:r>
      <w:r w:rsidR="008E4F1A">
        <w:rPr>
          <w:rFonts w:ascii="Century Gothic" w:hAnsi="Century Gothic"/>
          <w:sz w:val="22"/>
          <w:szCs w:val="22"/>
        </w:rPr>
        <w:t xml:space="preserve">also </w:t>
      </w:r>
      <w:r>
        <w:rPr>
          <w:rFonts w:ascii="Century Gothic" w:hAnsi="Century Gothic"/>
          <w:sz w:val="22"/>
          <w:szCs w:val="22"/>
        </w:rPr>
        <w:t>appropriately targeted</w:t>
      </w:r>
      <w:r w:rsidR="00EE0311">
        <w:rPr>
          <w:rFonts w:ascii="Century Gothic" w:hAnsi="Century Gothic"/>
          <w:sz w:val="22"/>
          <w:szCs w:val="22"/>
        </w:rPr>
        <w:t xml:space="preserve"> to children’s needs</w:t>
      </w:r>
      <w:r>
        <w:rPr>
          <w:rFonts w:ascii="Century Gothic" w:hAnsi="Century Gothic"/>
          <w:sz w:val="22"/>
          <w:szCs w:val="22"/>
        </w:rPr>
        <w:t>.</w:t>
      </w:r>
      <w:r w:rsidR="00EE0311">
        <w:rPr>
          <w:rFonts w:ascii="Century Gothic" w:hAnsi="Century Gothic"/>
          <w:sz w:val="22"/>
          <w:szCs w:val="22"/>
        </w:rPr>
        <w:t xml:space="preserve"> </w:t>
      </w:r>
    </w:p>
    <w:p w14:paraId="51E9FD2E" w14:textId="23F64550" w:rsidR="00EE0311"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Information sharing and communication within and between agencies needs to be reinforced. </w:t>
      </w:r>
    </w:p>
    <w:p w14:paraId="4256C0F0" w14:textId="33BFCDC6" w:rsidR="0035586D" w:rsidRDefault="0035586D"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Children moving to </w:t>
      </w:r>
      <w:r w:rsidR="00294E3B">
        <w:rPr>
          <w:rFonts w:ascii="Century Gothic" w:hAnsi="Century Gothic"/>
          <w:sz w:val="22"/>
          <w:szCs w:val="22"/>
        </w:rPr>
        <w:t>r</w:t>
      </w:r>
      <w:r>
        <w:rPr>
          <w:rFonts w:ascii="Century Gothic" w:hAnsi="Century Gothic"/>
          <w:sz w:val="22"/>
          <w:szCs w:val="22"/>
        </w:rPr>
        <w:t>efuge accommodation should be assessed under Section 17 of the Children Act 1989.</w:t>
      </w:r>
      <w:r w:rsidR="009204B2" w:rsidRPr="009204B2">
        <w:rPr>
          <w:rFonts w:ascii="Century Gothic" w:hAnsi="Century Gothic"/>
          <w:sz w:val="22"/>
          <w:szCs w:val="22"/>
        </w:rPr>
        <w:t xml:space="preserve"> </w:t>
      </w:r>
      <w:r w:rsidR="009204B2">
        <w:rPr>
          <w:rFonts w:ascii="Century Gothic" w:hAnsi="Century Gothic"/>
          <w:sz w:val="22"/>
          <w:szCs w:val="22"/>
        </w:rPr>
        <w:t xml:space="preserve">The temporary safety of </w:t>
      </w:r>
      <w:r w:rsidR="00294E3B">
        <w:rPr>
          <w:rFonts w:ascii="Century Gothic" w:hAnsi="Century Gothic"/>
          <w:sz w:val="22"/>
          <w:szCs w:val="22"/>
        </w:rPr>
        <w:t>r</w:t>
      </w:r>
      <w:r w:rsidR="009204B2">
        <w:rPr>
          <w:rFonts w:ascii="Century Gothic" w:hAnsi="Century Gothic"/>
          <w:sz w:val="22"/>
          <w:szCs w:val="22"/>
        </w:rPr>
        <w:t>efuge</w:t>
      </w:r>
      <w:r w:rsidR="00294E3B">
        <w:rPr>
          <w:rFonts w:ascii="Century Gothic" w:hAnsi="Century Gothic"/>
          <w:sz w:val="22"/>
          <w:szCs w:val="22"/>
        </w:rPr>
        <w:t xml:space="preserve"> accommodation</w:t>
      </w:r>
      <w:r w:rsidR="009204B2">
        <w:rPr>
          <w:rFonts w:ascii="Century Gothic" w:hAnsi="Century Gothic"/>
          <w:sz w:val="22"/>
          <w:szCs w:val="22"/>
        </w:rPr>
        <w:t xml:space="preserve"> for the mother and the children should not influence the decision making in relation to the significant harm experienced by the children.  </w:t>
      </w:r>
    </w:p>
    <w:p w14:paraId="20A1027B" w14:textId="65A9CA7F" w:rsidR="0035586D" w:rsidRDefault="00EE0311"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Risk assessments of adults</w:t>
      </w:r>
      <w:r w:rsidR="008E4F1A">
        <w:rPr>
          <w:rFonts w:ascii="Century Gothic" w:hAnsi="Century Gothic"/>
          <w:sz w:val="22"/>
          <w:szCs w:val="22"/>
        </w:rPr>
        <w:t xml:space="preserve"> also need to address the impact of risk</w:t>
      </w:r>
      <w:r>
        <w:rPr>
          <w:rFonts w:ascii="Century Gothic" w:hAnsi="Century Gothic"/>
          <w:sz w:val="22"/>
          <w:szCs w:val="22"/>
        </w:rPr>
        <w:t xml:space="preserve"> to children. </w:t>
      </w:r>
    </w:p>
    <w:p w14:paraId="4B5C8AED" w14:textId="0C03E2B6" w:rsidR="0035586D" w:rsidRDefault="00701938"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Professionals working with vulnerable families need to have </w:t>
      </w:r>
      <w:r w:rsidR="00971CD2">
        <w:rPr>
          <w:rFonts w:ascii="Century Gothic" w:hAnsi="Century Gothic"/>
          <w:sz w:val="22"/>
          <w:szCs w:val="22"/>
        </w:rPr>
        <w:t xml:space="preserve">support </w:t>
      </w:r>
      <w:r>
        <w:rPr>
          <w:rFonts w:ascii="Century Gothic" w:hAnsi="Century Gothic"/>
          <w:sz w:val="22"/>
          <w:szCs w:val="22"/>
        </w:rPr>
        <w:t xml:space="preserve">to reflect upon their own professional bias particularly when working with birth </w:t>
      </w:r>
      <w:r w:rsidR="008E4F1A">
        <w:rPr>
          <w:rFonts w:ascii="Century Gothic" w:hAnsi="Century Gothic"/>
          <w:sz w:val="22"/>
          <w:szCs w:val="22"/>
        </w:rPr>
        <w:t>fathers</w:t>
      </w:r>
      <w:r>
        <w:rPr>
          <w:rFonts w:ascii="Century Gothic" w:hAnsi="Century Gothic"/>
          <w:sz w:val="22"/>
          <w:szCs w:val="22"/>
        </w:rPr>
        <w:t xml:space="preserve"> who are perpetrators of domestic abuse</w:t>
      </w:r>
      <w:r w:rsidR="00971CD2">
        <w:rPr>
          <w:rFonts w:ascii="Century Gothic" w:hAnsi="Century Gothic"/>
          <w:sz w:val="22"/>
          <w:szCs w:val="22"/>
        </w:rPr>
        <w:t xml:space="preserve">, such as reflective supervision. </w:t>
      </w:r>
    </w:p>
    <w:p w14:paraId="66C455D2" w14:textId="6DA85933" w:rsidR="00701938" w:rsidRDefault="00701938"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Closing of children’s case files needs to be based on judgements of risk rather than family moves or non-engagement with a plan. </w:t>
      </w:r>
    </w:p>
    <w:p w14:paraId="6E72DADB" w14:textId="766FB99D" w:rsidR="00701938" w:rsidRDefault="00701938" w:rsidP="0035586D">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All professionals working with families should have a level of understanding about safer sleeping</w:t>
      </w:r>
      <w:r w:rsidR="009204B2">
        <w:rPr>
          <w:rFonts w:ascii="Century Gothic" w:hAnsi="Century Gothic"/>
          <w:sz w:val="22"/>
          <w:szCs w:val="22"/>
        </w:rPr>
        <w:t xml:space="preserve"> and be able to question the suitability of those arrangements</w:t>
      </w:r>
      <w:r>
        <w:rPr>
          <w:rFonts w:ascii="Century Gothic" w:hAnsi="Century Gothic"/>
          <w:sz w:val="22"/>
          <w:szCs w:val="22"/>
        </w:rPr>
        <w:t xml:space="preserve">. </w:t>
      </w:r>
    </w:p>
    <w:p w14:paraId="5FF309E4" w14:textId="5A4B7CF0" w:rsidR="00701938" w:rsidRPr="00701938" w:rsidRDefault="00701938" w:rsidP="00701938">
      <w:pPr>
        <w:spacing w:line="276" w:lineRule="auto"/>
        <w:ind w:left="360"/>
        <w:jc w:val="both"/>
        <w:rPr>
          <w:rFonts w:ascii="Century Gothic" w:hAnsi="Century Gothic"/>
          <w:sz w:val="22"/>
          <w:szCs w:val="22"/>
        </w:rPr>
      </w:pPr>
    </w:p>
    <w:p w14:paraId="5E43B10E" w14:textId="706A8903" w:rsidR="00CC77B2" w:rsidRPr="00715DC0" w:rsidRDefault="00F663D6" w:rsidP="000174FE">
      <w:pPr>
        <w:pStyle w:val="ListParagraph"/>
        <w:numPr>
          <w:ilvl w:val="0"/>
          <w:numId w:val="10"/>
        </w:numPr>
        <w:spacing w:line="276" w:lineRule="auto"/>
        <w:jc w:val="both"/>
        <w:rPr>
          <w:rFonts w:ascii="Century Gothic" w:hAnsi="Century Gothic"/>
          <w:sz w:val="22"/>
          <w:szCs w:val="22"/>
        </w:rPr>
      </w:pPr>
      <w:r w:rsidRPr="00CC77B2">
        <w:rPr>
          <w:rFonts w:ascii="Century Gothic" w:hAnsi="Century Gothic"/>
          <w:b/>
          <w:bCs/>
          <w:sz w:val="22"/>
          <w:szCs w:val="22"/>
        </w:rPr>
        <w:t>Recommendation</w:t>
      </w:r>
      <w:r w:rsidR="00FD76CC" w:rsidRPr="00CC77B2">
        <w:rPr>
          <w:rFonts w:ascii="Century Gothic" w:hAnsi="Century Gothic"/>
          <w:b/>
          <w:bCs/>
          <w:sz w:val="22"/>
          <w:szCs w:val="22"/>
        </w:rPr>
        <w:t>s</w:t>
      </w:r>
    </w:p>
    <w:p w14:paraId="42171D9E" w14:textId="77777777" w:rsidR="00715DC0" w:rsidRPr="00CC77B2" w:rsidRDefault="00715DC0" w:rsidP="00715DC0">
      <w:pPr>
        <w:pStyle w:val="ListParagraph"/>
        <w:spacing w:line="276" w:lineRule="auto"/>
        <w:jc w:val="both"/>
        <w:rPr>
          <w:rFonts w:ascii="Century Gothic" w:hAnsi="Century Gothic"/>
          <w:sz w:val="22"/>
          <w:szCs w:val="22"/>
        </w:rPr>
      </w:pPr>
    </w:p>
    <w:p w14:paraId="4E988D43" w14:textId="3168A1F0" w:rsidR="00CC77B2" w:rsidRPr="00CC77B2" w:rsidRDefault="00DC61CC" w:rsidP="00CC77B2">
      <w:pPr>
        <w:pStyle w:val="ListParagraph"/>
        <w:numPr>
          <w:ilvl w:val="0"/>
          <w:numId w:val="2"/>
        </w:numPr>
        <w:spacing w:line="276" w:lineRule="auto"/>
        <w:jc w:val="both"/>
        <w:rPr>
          <w:rFonts w:ascii="Century Gothic" w:hAnsi="Century Gothic"/>
          <w:sz w:val="22"/>
          <w:szCs w:val="22"/>
        </w:rPr>
      </w:pPr>
      <w:r w:rsidRPr="00CC77B2">
        <w:rPr>
          <w:rFonts w:ascii="Century Gothic" w:hAnsi="Century Gothic"/>
          <w:sz w:val="22"/>
          <w:szCs w:val="22"/>
        </w:rPr>
        <w:t xml:space="preserve">Safeguarding partners need to seek assurance that </w:t>
      </w:r>
      <w:r w:rsidR="009204B2" w:rsidRPr="00CC77B2">
        <w:rPr>
          <w:rFonts w:ascii="Century Gothic" w:hAnsi="Century Gothic"/>
          <w:sz w:val="22"/>
          <w:szCs w:val="22"/>
        </w:rPr>
        <w:t>individual organisations have</w:t>
      </w:r>
      <w:r w:rsidRPr="00CC77B2">
        <w:rPr>
          <w:rFonts w:ascii="Century Gothic" w:hAnsi="Century Gothic"/>
          <w:sz w:val="22"/>
          <w:szCs w:val="22"/>
        </w:rPr>
        <w:t xml:space="preserve"> effective escalation procedures and policies that go beyond local boundaries</w:t>
      </w:r>
      <w:r w:rsidR="009204B2" w:rsidRPr="00CC77B2">
        <w:rPr>
          <w:rFonts w:ascii="Century Gothic" w:hAnsi="Century Gothic"/>
          <w:sz w:val="22"/>
          <w:szCs w:val="22"/>
        </w:rPr>
        <w:t xml:space="preserve">. </w:t>
      </w:r>
    </w:p>
    <w:p w14:paraId="4CB7F96A" w14:textId="3AED78C6" w:rsidR="00DC61CC" w:rsidRPr="00CC77B2" w:rsidRDefault="00DC61CC" w:rsidP="00064DED">
      <w:pPr>
        <w:pStyle w:val="ListParagraph"/>
        <w:numPr>
          <w:ilvl w:val="0"/>
          <w:numId w:val="2"/>
        </w:numPr>
        <w:spacing w:line="276" w:lineRule="auto"/>
        <w:jc w:val="both"/>
        <w:rPr>
          <w:rFonts w:ascii="Century Gothic" w:hAnsi="Century Gothic"/>
          <w:sz w:val="22"/>
          <w:szCs w:val="22"/>
        </w:rPr>
      </w:pPr>
      <w:r w:rsidRPr="00CC77B2">
        <w:rPr>
          <w:rFonts w:ascii="Century Gothic" w:hAnsi="Century Gothic"/>
          <w:sz w:val="22"/>
          <w:szCs w:val="22"/>
        </w:rPr>
        <w:t xml:space="preserve">The safeguarding partnership needs to </w:t>
      </w:r>
      <w:r w:rsidR="009204B2" w:rsidRPr="00CC77B2">
        <w:rPr>
          <w:rFonts w:ascii="Century Gothic" w:hAnsi="Century Gothic"/>
          <w:sz w:val="22"/>
          <w:szCs w:val="22"/>
        </w:rPr>
        <w:t xml:space="preserve">consider the appropriateness of </w:t>
      </w:r>
      <w:r w:rsidR="00CC77B2">
        <w:rPr>
          <w:rFonts w:ascii="Century Gothic" w:hAnsi="Century Gothic"/>
          <w:sz w:val="22"/>
          <w:szCs w:val="22"/>
        </w:rPr>
        <w:t xml:space="preserve">implementing </w:t>
      </w:r>
      <w:r w:rsidR="009204B2" w:rsidRPr="00CC77B2">
        <w:rPr>
          <w:rFonts w:ascii="Century Gothic" w:hAnsi="Century Gothic"/>
          <w:sz w:val="22"/>
          <w:szCs w:val="22"/>
        </w:rPr>
        <w:t xml:space="preserve">integrated chronologies for families that are transient and move between local authorities. </w:t>
      </w:r>
      <w:r w:rsidRPr="00CC77B2">
        <w:rPr>
          <w:rFonts w:ascii="Century Gothic" w:hAnsi="Century Gothic"/>
          <w:sz w:val="22"/>
          <w:szCs w:val="22"/>
        </w:rPr>
        <w:t xml:space="preserve"> </w:t>
      </w:r>
    </w:p>
    <w:p w14:paraId="6A280B8B" w14:textId="69589AAF" w:rsidR="00DC61CC" w:rsidRDefault="00DC61CC" w:rsidP="00DC61CC">
      <w:pPr>
        <w:pStyle w:val="ListParagraph"/>
        <w:numPr>
          <w:ilvl w:val="0"/>
          <w:numId w:val="2"/>
        </w:numPr>
        <w:spacing w:line="276" w:lineRule="auto"/>
        <w:jc w:val="both"/>
        <w:rPr>
          <w:rFonts w:ascii="Century Gothic" w:hAnsi="Century Gothic"/>
          <w:sz w:val="22"/>
          <w:szCs w:val="22"/>
        </w:rPr>
      </w:pPr>
      <w:r w:rsidRPr="00336961">
        <w:rPr>
          <w:rFonts w:ascii="Century Gothic" w:hAnsi="Century Gothic"/>
          <w:sz w:val="22"/>
          <w:szCs w:val="22"/>
        </w:rPr>
        <w:t xml:space="preserve">All families moving </w:t>
      </w:r>
      <w:r>
        <w:rPr>
          <w:rFonts w:ascii="Century Gothic" w:hAnsi="Century Gothic"/>
          <w:sz w:val="22"/>
          <w:szCs w:val="22"/>
        </w:rPr>
        <w:t xml:space="preserve">to </w:t>
      </w:r>
      <w:r w:rsidR="00294E3B">
        <w:rPr>
          <w:rFonts w:ascii="Century Gothic" w:hAnsi="Century Gothic"/>
          <w:sz w:val="22"/>
          <w:szCs w:val="22"/>
        </w:rPr>
        <w:t>r</w:t>
      </w:r>
      <w:r w:rsidRPr="00336961">
        <w:rPr>
          <w:rFonts w:ascii="Century Gothic" w:hAnsi="Century Gothic"/>
          <w:sz w:val="22"/>
          <w:szCs w:val="22"/>
        </w:rPr>
        <w:t xml:space="preserve">efuge accommodation and making homelessness applications to local authority housing should be referred to the MASH or similar </w:t>
      </w:r>
      <w:r w:rsidRPr="00336961">
        <w:rPr>
          <w:rFonts w:ascii="Century Gothic" w:hAnsi="Century Gothic"/>
          <w:sz w:val="22"/>
          <w:szCs w:val="22"/>
        </w:rPr>
        <w:lastRenderedPageBreak/>
        <w:t>children’s social care front door arrangements</w:t>
      </w:r>
      <w:r>
        <w:rPr>
          <w:rFonts w:ascii="Century Gothic" w:hAnsi="Century Gothic"/>
          <w:sz w:val="22"/>
          <w:szCs w:val="22"/>
        </w:rPr>
        <w:t xml:space="preserve"> in the authority to which they are moving</w:t>
      </w:r>
      <w:r w:rsidRPr="00336961">
        <w:rPr>
          <w:rFonts w:ascii="Century Gothic" w:hAnsi="Century Gothic"/>
          <w:sz w:val="22"/>
          <w:szCs w:val="22"/>
        </w:rPr>
        <w:t xml:space="preserve">. </w:t>
      </w:r>
    </w:p>
    <w:p w14:paraId="07331C7F" w14:textId="3773175D" w:rsidR="00D47DF8" w:rsidRPr="00336961" w:rsidRDefault="002E1C2F" w:rsidP="00DC61CC">
      <w:pPr>
        <w:pStyle w:val="ListParagraph"/>
        <w:numPr>
          <w:ilvl w:val="0"/>
          <w:numId w:val="2"/>
        </w:numPr>
        <w:spacing w:line="276" w:lineRule="auto"/>
        <w:jc w:val="both"/>
        <w:rPr>
          <w:rFonts w:ascii="Century Gothic" w:hAnsi="Century Gothic"/>
          <w:sz w:val="22"/>
          <w:szCs w:val="22"/>
        </w:rPr>
      </w:pPr>
      <w:r>
        <w:rPr>
          <w:rFonts w:ascii="Century Gothic" w:hAnsi="Century Gothic"/>
          <w:sz w:val="22"/>
          <w:szCs w:val="22"/>
        </w:rPr>
        <w:t>Survivors of domestic abuse</w:t>
      </w:r>
      <w:r w:rsidR="00D47DF8">
        <w:rPr>
          <w:rFonts w:ascii="Century Gothic" w:hAnsi="Century Gothic"/>
          <w:sz w:val="22"/>
          <w:szCs w:val="22"/>
        </w:rPr>
        <w:t xml:space="preserve"> moving from refuge accommodation to new properties should be afforded a risk assessment as </w:t>
      </w:r>
      <w:r w:rsidR="00497607">
        <w:rPr>
          <w:rFonts w:ascii="Century Gothic" w:hAnsi="Century Gothic"/>
          <w:sz w:val="22"/>
          <w:szCs w:val="22"/>
        </w:rPr>
        <w:t xml:space="preserve">to </w:t>
      </w:r>
      <w:r w:rsidR="00D47DF8">
        <w:rPr>
          <w:rFonts w:ascii="Century Gothic" w:hAnsi="Century Gothic"/>
          <w:sz w:val="22"/>
          <w:szCs w:val="22"/>
        </w:rPr>
        <w:t xml:space="preserve">the suitability of the </w:t>
      </w:r>
      <w:r w:rsidR="00497607">
        <w:rPr>
          <w:rFonts w:ascii="Century Gothic" w:hAnsi="Century Gothic"/>
          <w:sz w:val="22"/>
          <w:szCs w:val="22"/>
        </w:rPr>
        <w:t xml:space="preserve">accommodation and its furnishings. </w:t>
      </w:r>
    </w:p>
    <w:p w14:paraId="67C35813" w14:textId="09E2DA25" w:rsidR="00DC61CC" w:rsidRPr="00AE201C" w:rsidRDefault="00DC61CC" w:rsidP="00DC61CC">
      <w:pPr>
        <w:pStyle w:val="ListParagraph"/>
        <w:numPr>
          <w:ilvl w:val="0"/>
          <w:numId w:val="2"/>
        </w:numPr>
        <w:spacing w:line="276" w:lineRule="auto"/>
        <w:jc w:val="both"/>
        <w:rPr>
          <w:rFonts w:ascii="Century Gothic" w:hAnsi="Century Gothic"/>
          <w:b/>
          <w:bCs/>
          <w:sz w:val="22"/>
          <w:szCs w:val="22"/>
        </w:rPr>
      </w:pPr>
      <w:r>
        <w:rPr>
          <w:rFonts w:ascii="Century Gothic" w:hAnsi="Century Gothic"/>
          <w:sz w:val="22"/>
          <w:szCs w:val="22"/>
        </w:rPr>
        <w:t xml:space="preserve">MASH or Single Point of Access arrangements in children’s social care should consider ‘holding’ children open for a short period of time (48 hours) when families are referred as moving into the local authority without consent. </w:t>
      </w:r>
    </w:p>
    <w:p w14:paraId="5ED77B1B" w14:textId="3CB9BC23" w:rsidR="00AE201C" w:rsidRPr="00EB6B58" w:rsidRDefault="00AE201C" w:rsidP="00DC61CC">
      <w:pPr>
        <w:pStyle w:val="ListParagraph"/>
        <w:numPr>
          <w:ilvl w:val="0"/>
          <w:numId w:val="2"/>
        </w:numPr>
        <w:spacing w:line="276" w:lineRule="auto"/>
        <w:jc w:val="both"/>
        <w:rPr>
          <w:rFonts w:ascii="Century Gothic" w:hAnsi="Century Gothic"/>
          <w:b/>
          <w:bCs/>
          <w:sz w:val="22"/>
          <w:szCs w:val="22"/>
        </w:rPr>
      </w:pPr>
      <w:r>
        <w:rPr>
          <w:rFonts w:ascii="Century Gothic" w:hAnsi="Century Gothic"/>
          <w:sz w:val="22"/>
          <w:szCs w:val="22"/>
        </w:rPr>
        <w:t>Local authorities need to consider the use of ‘Transfer In’ meetings to ensure effect</w:t>
      </w:r>
      <w:r w:rsidR="00590533">
        <w:rPr>
          <w:rFonts w:ascii="Century Gothic" w:hAnsi="Century Gothic"/>
          <w:sz w:val="22"/>
          <w:szCs w:val="22"/>
        </w:rPr>
        <w:t>ive</w:t>
      </w:r>
      <w:r>
        <w:rPr>
          <w:rFonts w:ascii="Century Gothic" w:hAnsi="Century Gothic"/>
          <w:sz w:val="22"/>
          <w:szCs w:val="22"/>
        </w:rPr>
        <w:t xml:space="preserve"> transfer of children and families between local authorities regardless of the case ‘</w:t>
      </w:r>
      <w:proofErr w:type="gramStart"/>
      <w:r>
        <w:rPr>
          <w:rFonts w:ascii="Century Gothic" w:hAnsi="Century Gothic"/>
          <w:sz w:val="22"/>
          <w:szCs w:val="22"/>
        </w:rPr>
        <w:t>status’</w:t>
      </w:r>
      <w:proofErr w:type="gramEnd"/>
      <w:r>
        <w:rPr>
          <w:rFonts w:ascii="Century Gothic" w:hAnsi="Century Gothic"/>
          <w:sz w:val="22"/>
          <w:szCs w:val="22"/>
        </w:rPr>
        <w:t xml:space="preserve">.  </w:t>
      </w:r>
    </w:p>
    <w:p w14:paraId="6BC5FF13" w14:textId="6DE80B8F" w:rsidR="00DC61CC" w:rsidRPr="00DC61CC" w:rsidRDefault="00DC61CC" w:rsidP="00E1622E">
      <w:pPr>
        <w:pStyle w:val="ListParagraph"/>
        <w:numPr>
          <w:ilvl w:val="0"/>
          <w:numId w:val="2"/>
        </w:numPr>
        <w:spacing w:line="276" w:lineRule="auto"/>
        <w:jc w:val="both"/>
        <w:rPr>
          <w:rFonts w:ascii="Century Gothic" w:hAnsi="Century Gothic"/>
          <w:b/>
          <w:bCs/>
          <w:sz w:val="22"/>
          <w:szCs w:val="22"/>
        </w:rPr>
      </w:pPr>
      <w:r w:rsidRPr="00DC61CC">
        <w:rPr>
          <w:rFonts w:ascii="Century Gothic" w:hAnsi="Century Gothic"/>
          <w:sz w:val="22"/>
          <w:szCs w:val="22"/>
        </w:rPr>
        <w:t>The Child Death Overview Panel, Public Health and Trading Standards should consider additional warnings regarding the safety of bed guards and their appropriate use</w:t>
      </w:r>
      <w:r w:rsidR="009204B2">
        <w:rPr>
          <w:rFonts w:ascii="Century Gothic" w:hAnsi="Century Gothic"/>
          <w:sz w:val="22"/>
          <w:szCs w:val="22"/>
        </w:rPr>
        <w:t xml:space="preserve"> in safer sleeping messages</w:t>
      </w:r>
      <w:r w:rsidRPr="00DC61CC">
        <w:rPr>
          <w:rFonts w:ascii="Century Gothic" w:hAnsi="Century Gothic"/>
          <w:sz w:val="22"/>
          <w:szCs w:val="22"/>
        </w:rPr>
        <w:t>.</w:t>
      </w:r>
    </w:p>
    <w:p w14:paraId="37615089" w14:textId="0886049A" w:rsidR="00DC61CC" w:rsidRPr="00DC61CC" w:rsidRDefault="009204B2" w:rsidP="00E1622E">
      <w:pPr>
        <w:pStyle w:val="ListParagraph"/>
        <w:numPr>
          <w:ilvl w:val="0"/>
          <w:numId w:val="2"/>
        </w:numPr>
        <w:spacing w:line="276" w:lineRule="auto"/>
        <w:jc w:val="both"/>
        <w:rPr>
          <w:rFonts w:ascii="Century Gothic" w:hAnsi="Century Gothic"/>
          <w:b/>
          <w:bCs/>
          <w:sz w:val="22"/>
          <w:szCs w:val="22"/>
        </w:rPr>
      </w:pPr>
      <w:r>
        <w:rPr>
          <w:rFonts w:ascii="Century Gothic" w:hAnsi="Century Gothic"/>
          <w:sz w:val="22"/>
          <w:szCs w:val="22"/>
        </w:rPr>
        <w:t xml:space="preserve">The safeguarding partnership should encourage the </w:t>
      </w:r>
      <w:r w:rsidR="00990A6A" w:rsidRPr="00DC61CC">
        <w:rPr>
          <w:rFonts w:ascii="Century Gothic" w:hAnsi="Century Gothic"/>
          <w:sz w:val="22"/>
          <w:szCs w:val="22"/>
        </w:rPr>
        <w:t xml:space="preserve">engagement of </w:t>
      </w:r>
      <w:r w:rsidR="002A0D8E" w:rsidRPr="00DC61CC">
        <w:rPr>
          <w:rFonts w:ascii="Century Gothic" w:hAnsi="Century Gothic"/>
          <w:sz w:val="22"/>
          <w:szCs w:val="22"/>
        </w:rPr>
        <w:t>the voluntary and community sector agencies in safeguarding partnership arrangements</w:t>
      </w:r>
      <w:r>
        <w:rPr>
          <w:rFonts w:ascii="Century Gothic" w:hAnsi="Century Gothic"/>
          <w:sz w:val="22"/>
          <w:szCs w:val="22"/>
        </w:rPr>
        <w:t xml:space="preserve">, </w:t>
      </w:r>
      <w:r w:rsidR="00846529" w:rsidRPr="00DC61CC">
        <w:rPr>
          <w:rFonts w:ascii="Century Gothic" w:hAnsi="Century Gothic"/>
          <w:sz w:val="22"/>
          <w:szCs w:val="22"/>
        </w:rPr>
        <w:t>particularly providers of domestic abuse services</w:t>
      </w:r>
      <w:r w:rsidR="00573BC0" w:rsidRPr="00DC61CC">
        <w:rPr>
          <w:rFonts w:ascii="Century Gothic" w:hAnsi="Century Gothic"/>
          <w:sz w:val="22"/>
          <w:szCs w:val="22"/>
        </w:rPr>
        <w:t>.</w:t>
      </w:r>
    </w:p>
    <w:p w14:paraId="1B55245E" w14:textId="0EAA78FE" w:rsidR="009204B2" w:rsidRPr="005F49C4" w:rsidRDefault="00DC61CC" w:rsidP="009204B2">
      <w:pPr>
        <w:pStyle w:val="ListParagraph"/>
        <w:numPr>
          <w:ilvl w:val="0"/>
          <w:numId w:val="2"/>
        </w:numPr>
        <w:spacing w:line="276" w:lineRule="auto"/>
        <w:jc w:val="both"/>
        <w:rPr>
          <w:rFonts w:ascii="Century Gothic" w:hAnsi="Century Gothic"/>
          <w:b/>
          <w:bCs/>
          <w:sz w:val="22"/>
          <w:szCs w:val="22"/>
        </w:rPr>
      </w:pPr>
      <w:r w:rsidRPr="00DC61CC">
        <w:rPr>
          <w:rFonts w:ascii="Century Gothic" w:hAnsi="Century Gothic"/>
          <w:sz w:val="22"/>
          <w:szCs w:val="22"/>
        </w:rPr>
        <w:t xml:space="preserve">Safeguarding partnerships </w:t>
      </w:r>
      <w:r>
        <w:rPr>
          <w:rFonts w:ascii="Century Gothic" w:hAnsi="Century Gothic"/>
          <w:sz w:val="22"/>
          <w:szCs w:val="22"/>
        </w:rPr>
        <w:t xml:space="preserve">need </w:t>
      </w:r>
      <w:r w:rsidRPr="00DC61CC">
        <w:rPr>
          <w:rFonts w:ascii="Century Gothic" w:hAnsi="Century Gothic"/>
          <w:sz w:val="22"/>
          <w:szCs w:val="22"/>
        </w:rPr>
        <w:t xml:space="preserve">to ensure there is </w:t>
      </w:r>
      <w:r w:rsidR="00590533">
        <w:rPr>
          <w:rFonts w:ascii="Century Gothic" w:hAnsi="Century Gothic"/>
          <w:sz w:val="22"/>
          <w:szCs w:val="22"/>
        </w:rPr>
        <w:t xml:space="preserve">a </w:t>
      </w:r>
      <w:r w:rsidRPr="00DC61CC">
        <w:rPr>
          <w:rFonts w:ascii="Century Gothic" w:hAnsi="Century Gothic"/>
          <w:sz w:val="22"/>
          <w:szCs w:val="22"/>
        </w:rPr>
        <w:t xml:space="preserve">strategic link between safeguarding partnerships and Community Safety Partnership and MARAC arrangements. </w:t>
      </w:r>
    </w:p>
    <w:p w14:paraId="32007F98" w14:textId="3F3722A9" w:rsidR="005F49C4" w:rsidRPr="00971CD2" w:rsidRDefault="005F49C4" w:rsidP="005F49C4">
      <w:pPr>
        <w:pStyle w:val="ListParagraph"/>
        <w:spacing w:line="276" w:lineRule="auto"/>
        <w:jc w:val="both"/>
        <w:rPr>
          <w:rFonts w:ascii="Century Gothic" w:hAnsi="Century Gothic"/>
          <w:b/>
          <w:bCs/>
          <w:sz w:val="22"/>
          <w:szCs w:val="22"/>
        </w:rPr>
      </w:pPr>
    </w:p>
    <w:p w14:paraId="55E0F939" w14:textId="77777777" w:rsidR="00971CD2" w:rsidRPr="009204B2" w:rsidRDefault="00971CD2" w:rsidP="005F49C4">
      <w:pPr>
        <w:pStyle w:val="ListParagraph"/>
        <w:spacing w:line="276" w:lineRule="auto"/>
        <w:jc w:val="both"/>
        <w:rPr>
          <w:rFonts w:ascii="Century Gothic" w:hAnsi="Century Gothic"/>
          <w:b/>
          <w:bCs/>
          <w:sz w:val="22"/>
          <w:szCs w:val="22"/>
        </w:rPr>
      </w:pPr>
    </w:p>
    <w:sectPr w:rsidR="00971CD2" w:rsidRPr="009204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0C1" w14:textId="77777777" w:rsidR="00C30AA2" w:rsidRDefault="00C30AA2" w:rsidP="003E1BDA">
      <w:pPr>
        <w:spacing w:after="0" w:line="240" w:lineRule="auto"/>
      </w:pPr>
      <w:r>
        <w:separator/>
      </w:r>
    </w:p>
  </w:endnote>
  <w:endnote w:type="continuationSeparator" w:id="0">
    <w:p w14:paraId="3F5F7874" w14:textId="77777777" w:rsidR="00C30AA2" w:rsidRDefault="00C30AA2" w:rsidP="003E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092995"/>
      <w:docPartObj>
        <w:docPartGallery w:val="Page Numbers (Bottom of Page)"/>
        <w:docPartUnique/>
      </w:docPartObj>
    </w:sdtPr>
    <w:sdtEndPr/>
    <w:sdtContent>
      <w:sdt>
        <w:sdtPr>
          <w:id w:val="1728636285"/>
          <w:docPartObj>
            <w:docPartGallery w:val="Page Numbers (Top of Page)"/>
            <w:docPartUnique/>
          </w:docPartObj>
        </w:sdtPr>
        <w:sdtEndPr/>
        <w:sdtContent>
          <w:p w14:paraId="74D5ED48" w14:textId="78BC7CD3" w:rsidR="008F5341" w:rsidRDefault="008F534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273DEC" w14:textId="77777777" w:rsidR="008F5341" w:rsidRDefault="008F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0C2B" w14:textId="77777777" w:rsidR="00C30AA2" w:rsidRDefault="00C30AA2" w:rsidP="003E1BDA">
      <w:pPr>
        <w:spacing w:after="0" w:line="240" w:lineRule="auto"/>
      </w:pPr>
      <w:r>
        <w:separator/>
      </w:r>
    </w:p>
  </w:footnote>
  <w:footnote w:type="continuationSeparator" w:id="0">
    <w:p w14:paraId="678B7D45" w14:textId="77777777" w:rsidR="00C30AA2" w:rsidRDefault="00C30AA2" w:rsidP="003E1BDA">
      <w:pPr>
        <w:spacing w:after="0" w:line="240" w:lineRule="auto"/>
      </w:pPr>
      <w:r>
        <w:continuationSeparator/>
      </w:r>
    </w:p>
  </w:footnote>
  <w:footnote w:id="1">
    <w:p w14:paraId="068095A2" w14:textId="32CA496C" w:rsidR="008F5341" w:rsidRPr="002E37A8" w:rsidRDefault="008F5341">
      <w:pPr>
        <w:pStyle w:val="FootnoteText"/>
        <w:rPr>
          <w:rFonts w:ascii="Century Gothic" w:hAnsi="Century Gothic"/>
          <w:sz w:val="16"/>
          <w:szCs w:val="16"/>
        </w:rPr>
      </w:pPr>
      <w:r w:rsidRPr="002E37A8">
        <w:rPr>
          <w:rStyle w:val="FootnoteReference"/>
          <w:rFonts w:ascii="Century Gothic" w:hAnsi="Century Gothic"/>
          <w:sz w:val="16"/>
          <w:szCs w:val="16"/>
        </w:rPr>
        <w:footnoteRef/>
      </w:r>
      <w:r w:rsidRPr="002E37A8">
        <w:rPr>
          <w:rFonts w:ascii="Century Gothic" w:hAnsi="Century Gothic"/>
          <w:sz w:val="16"/>
          <w:szCs w:val="16"/>
        </w:rPr>
        <w:t xml:space="preserve"> Family Law Act 1996 </w:t>
      </w:r>
    </w:p>
  </w:footnote>
  <w:footnote w:id="2">
    <w:p w14:paraId="399792E5" w14:textId="2EF72540" w:rsidR="008F5341" w:rsidRDefault="008F5341">
      <w:pPr>
        <w:pStyle w:val="FootnoteText"/>
      </w:pPr>
      <w:r>
        <w:rPr>
          <w:rStyle w:val="FootnoteReference"/>
        </w:rPr>
        <w:footnoteRef/>
      </w:r>
      <w:r>
        <w:t xml:space="preserve"> </w:t>
      </w:r>
      <w:r w:rsidRPr="00454174">
        <w:rPr>
          <w:rFonts w:ascii="Century Gothic" w:hAnsi="Century Gothic"/>
          <w:color w:val="000000"/>
          <w:sz w:val="16"/>
          <w:szCs w:val="16"/>
          <w:shd w:val="clear" w:color="auto" w:fill="FEFEFE"/>
        </w:rPr>
        <w:t>A Prohibited Steps Order is an order which prohibits a party (usually a parent) from a certain activity relating to a child(ren), and which also prohibits a party from exercising their parental responsibility.</w:t>
      </w:r>
    </w:p>
  </w:footnote>
  <w:footnote w:id="3">
    <w:p w14:paraId="40688996" w14:textId="77777777" w:rsidR="008F5341" w:rsidRPr="0044763C" w:rsidRDefault="008F5341" w:rsidP="002963FE">
      <w:pPr>
        <w:pStyle w:val="FootnoteText"/>
        <w:rPr>
          <w:rFonts w:ascii="Century Gothic" w:hAnsi="Century Gothic"/>
          <w:sz w:val="16"/>
          <w:szCs w:val="16"/>
        </w:rPr>
      </w:pPr>
      <w:r>
        <w:rPr>
          <w:rStyle w:val="FootnoteReference"/>
        </w:rPr>
        <w:footnoteRef/>
      </w:r>
      <w:r>
        <w:t xml:space="preserve"> </w:t>
      </w:r>
      <w:r w:rsidRPr="0044763C">
        <w:rPr>
          <w:rFonts w:ascii="Century Gothic" w:hAnsi="Century Gothic"/>
          <w:color w:val="000000"/>
          <w:sz w:val="16"/>
          <w:szCs w:val="16"/>
          <w:shd w:val="clear" w:color="auto" w:fill="FFFFFF"/>
        </w:rPr>
        <w:t xml:space="preserve">Often the first point of contact, MASH acts as a triage service within </w:t>
      </w:r>
      <w:r>
        <w:rPr>
          <w:rFonts w:ascii="Century Gothic" w:hAnsi="Century Gothic"/>
          <w:color w:val="000000"/>
          <w:sz w:val="16"/>
          <w:szCs w:val="16"/>
          <w:shd w:val="clear" w:color="auto" w:fill="FFFFFF"/>
        </w:rPr>
        <w:t>the</w:t>
      </w:r>
      <w:r w:rsidRPr="0044763C">
        <w:rPr>
          <w:rFonts w:ascii="Century Gothic" w:hAnsi="Century Gothic"/>
          <w:color w:val="000000"/>
          <w:sz w:val="16"/>
          <w:szCs w:val="16"/>
          <w:shd w:val="clear" w:color="auto" w:fill="FFFFFF"/>
        </w:rPr>
        <w:t xml:space="preserve"> social care front door. The team delivers an information gathering and co-ordination service to identify the most appropriate outcome for children and families</w:t>
      </w:r>
      <w:r>
        <w:rPr>
          <w:rFonts w:ascii="Century Gothic" w:hAnsi="Century Gothic"/>
          <w:color w:val="000000"/>
          <w:sz w:val="16"/>
          <w:szCs w:val="16"/>
          <w:shd w:val="clear" w:color="auto" w:fill="FFFFFF"/>
        </w:rPr>
        <w:t>.</w:t>
      </w:r>
    </w:p>
  </w:footnote>
  <w:footnote w:id="4">
    <w:p w14:paraId="363222E1" w14:textId="5AF462A7" w:rsidR="008F5341" w:rsidRPr="006E32C8" w:rsidRDefault="008F5341">
      <w:pPr>
        <w:pStyle w:val="FootnoteText"/>
        <w:rPr>
          <w:rFonts w:ascii="Century Gothic" w:hAnsi="Century Gothic"/>
          <w:sz w:val="16"/>
          <w:szCs w:val="16"/>
        </w:rPr>
      </w:pPr>
      <w:r>
        <w:rPr>
          <w:rStyle w:val="FootnoteReference"/>
        </w:rPr>
        <w:footnoteRef/>
      </w:r>
      <w:r>
        <w:t xml:space="preserve"> </w:t>
      </w:r>
      <w:r w:rsidRPr="006E32C8">
        <w:rPr>
          <w:rFonts w:ascii="Century Gothic" w:hAnsi="Century Gothic"/>
          <w:color w:val="111111"/>
          <w:sz w:val="16"/>
          <w:szCs w:val="16"/>
          <w:shd w:val="clear" w:color="auto" w:fill="FFFFFF"/>
        </w:rPr>
        <w:t xml:space="preserve">A </w:t>
      </w:r>
      <w:r w:rsidRPr="006E32C8">
        <w:rPr>
          <w:rStyle w:val="Strong"/>
          <w:rFonts w:ascii="Century Gothic" w:hAnsi="Century Gothic"/>
          <w:b w:val="0"/>
          <w:bCs w:val="0"/>
          <w:color w:val="111111"/>
          <w:sz w:val="16"/>
          <w:szCs w:val="16"/>
          <w:shd w:val="clear" w:color="auto" w:fill="FFFFFF"/>
        </w:rPr>
        <w:t>Significant</w:t>
      </w:r>
      <w:r w:rsidRPr="006E32C8">
        <w:rPr>
          <w:rFonts w:ascii="Century Gothic" w:hAnsi="Century Gothic"/>
          <w:color w:val="111111"/>
          <w:sz w:val="16"/>
          <w:szCs w:val="16"/>
          <w:shd w:val="clear" w:color="auto" w:fill="FFFFFF"/>
        </w:rPr>
        <w:t> Child Protection </w:t>
      </w:r>
      <w:r w:rsidRPr="006E32C8">
        <w:rPr>
          <w:rStyle w:val="Strong"/>
          <w:rFonts w:ascii="Century Gothic" w:hAnsi="Century Gothic"/>
          <w:b w:val="0"/>
          <w:bCs w:val="0"/>
          <w:color w:val="111111"/>
          <w:sz w:val="16"/>
          <w:szCs w:val="16"/>
          <w:shd w:val="clear" w:color="auto" w:fill="FFFFFF"/>
        </w:rPr>
        <w:t>Incident</w:t>
      </w:r>
      <w:r w:rsidRPr="006E32C8">
        <w:rPr>
          <w:rFonts w:ascii="Century Gothic" w:hAnsi="Century Gothic"/>
          <w:b/>
          <w:bCs/>
          <w:color w:val="111111"/>
          <w:sz w:val="16"/>
          <w:szCs w:val="16"/>
          <w:shd w:val="clear" w:color="auto" w:fill="FFFFFF"/>
        </w:rPr>
        <w:t> </w:t>
      </w:r>
      <w:r w:rsidRPr="006E32C8">
        <w:rPr>
          <w:rStyle w:val="Strong"/>
          <w:rFonts w:ascii="Century Gothic" w:hAnsi="Century Gothic"/>
          <w:b w:val="0"/>
          <w:bCs w:val="0"/>
          <w:color w:val="111111"/>
          <w:sz w:val="16"/>
          <w:szCs w:val="16"/>
          <w:shd w:val="clear" w:color="auto" w:fill="FFFFFF"/>
        </w:rPr>
        <w:t>Review</w:t>
      </w:r>
      <w:r w:rsidRPr="006E32C8">
        <w:rPr>
          <w:rFonts w:ascii="Century Gothic" w:hAnsi="Century Gothic"/>
          <w:color w:val="111111"/>
          <w:sz w:val="16"/>
          <w:szCs w:val="16"/>
          <w:shd w:val="clear" w:color="auto" w:fill="FFFFFF"/>
        </w:rPr>
        <w:t xml:space="preserve"> aims to help </w:t>
      </w:r>
      <w:r>
        <w:rPr>
          <w:rFonts w:ascii="Century Gothic" w:hAnsi="Century Gothic"/>
          <w:color w:val="111111"/>
          <w:sz w:val="16"/>
          <w:szCs w:val="16"/>
          <w:shd w:val="clear" w:color="auto" w:fill="FFFFFF"/>
        </w:rPr>
        <w:t xml:space="preserve">health </w:t>
      </w:r>
      <w:r w:rsidRPr="006E32C8">
        <w:rPr>
          <w:rFonts w:ascii="Century Gothic" w:hAnsi="Century Gothic"/>
          <w:color w:val="111111"/>
          <w:sz w:val="16"/>
          <w:szCs w:val="16"/>
          <w:shd w:val="clear" w:color="auto" w:fill="FFFFFF"/>
        </w:rPr>
        <w:t>staff prevent or minimise recurrence and future harm of children they suspect of being at risk. </w:t>
      </w:r>
    </w:p>
  </w:footnote>
  <w:footnote w:id="5">
    <w:p w14:paraId="44C7F955" w14:textId="7BC4AE01" w:rsidR="008F5341" w:rsidRPr="00AD7132" w:rsidRDefault="008F5341">
      <w:pPr>
        <w:pStyle w:val="FootnoteText"/>
        <w:rPr>
          <w:rFonts w:ascii="Century Gothic" w:hAnsi="Century Gothic"/>
          <w:sz w:val="16"/>
          <w:szCs w:val="16"/>
        </w:rPr>
      </w:pPr>
      <w:r w:rsidRPr="00AD7132">
        <w:rPr>
          <w:rStyle w:val="FootnoteReference"/>
          <w:rFonts w:ascii="Century Gothic" w:hAnsi="Century Gothic"/>
        </w:rPr>
        <w:footnoteRef/>
      </w:r>
      <w:r w:rsidRPr="00AD7132">
        <w:rPr>
          <w:rFonts w:ascii="Century Gothic" w:hAnsi="Century Gothic"/>
        </w:rPr>
        <w:t xml:space="preserve"> </w:t>
      </w:r>
      <w:r w:rsidRPr="00B72B82">
        <w:rPr>
          <w:rFonts w:ascii="Century Gothic" w:hAnsi="Century Gothic"/>
          <w:color w:val="212B32"/>
          <w:sz w:val="16"/>
          <w:szCs w:val="16"/>
          <w:shd w:val="clear" w:color="auto" w:fill="F0F4F5"/>
        </w:rPr>
        <w:t>To stop the spread of coronavirus (COVID-19), the public were advised to avoid close contact with anyone they do not live with. This was called social distancing.</w:t>
      </w:r>
    </w:p>
  </w:footnote>
  <w:footnote w:id="6">
    <w:p w14:paraId="10FAF9AA" w14:textId="5789AF2F" w:rsidR="008F5341" w:rsidRPr="005D1B45" w:rsidRDefault="008F5341">
      <w:pPr>
        <w:pStyle w:val="FootnoteText"/>
        <w:rPr>
          <w:rFonts w:ascii="Century Gothic" w:hAnsi="Century Gothic"/>
          <w:sz w:val="16"/>
          <w:szCs w:val="16"/>
        </w:rPr>
      </w:pPr>
      <w:r>
        <w:rPr>
          <w:rStyle w:val="FootnoteReference"/>
        </w:rPr>
        <w:footnoteRef/>
      </w:r>
      <w:r>
        <w:t xml:space="preserve"> </w:t>
      </w:r>
      <w:r w:rsidRPr="005D1B45">
        <w:rPr>
          <w:rFonts w:ascii="Century Gothic" w:hAnsi="Century Gothic"/>
          <w:sz w:val="16"/>
          <w:szCs w:val="16"/>
        </w:rPr>
        <w:t xml:space="preserve">Hazardous home conditions for the child including broken glass on the floor, soiled nappies and health and developmental appointments missed. Use of cannabis and heroin and refusal to engage with any services appointed to support the family. </w:t>
      </w:r>
    </w:p>
  </w:footnote>
  <w:footnote w:id="7">
    <w:p w14:paraId="2D97ED47" w14:textId="77777777" w:rsidR="008F5341" w:rsidRPr="009B267D" w:rsidRDefault="008F5341" w:rsidP="00F05BCD">
      <w:pPr>
        <w:pStyle w:val="FootnoteText"/>
        <w:rPr>
          <w:rFonts w:ascii="Century Gothic" w:hAnsi="Century Gothic"/>
          <w:sz w:val="16"/>
          <w:szCs w:val="16"/>
        </w:rPr>
      </w:pPr>
      <w:r w:rsidRPr="009B267D">
        <w:rPr>
          <w:rStyle w:val="FootnoteReference"/>
          <w:rFonts w:ascii="Century Gothic" w:hAnsi="Century Gothic"/>
          <w:sz w:val="16"/>
          <w:szCs w:val="16"/>
        </w:rPr>
        <w:footnoteRef/>
      </w:r>
      <w:r w:rsidRPr="009B267D">
        <w:rPr>
          <w:rFonts w:ascii="Century Gothic" w:hAnsi="Century Gothic"/>
          <w:sz w:val="16"/>
          <w:szCs w:val="16"/>
        </w:rPr>
        <w:t xml:space="preserve"> </w:t>
      </w:r>
      <w:r w:rsidRPr="009B267D">
        <w:rPr>
          <w:rStyle w:val="Strong"/>
          <w:rFonts w:ascii="Century Gothic" w:hAnsi="Century Gothic"/>
          <w:b w:val="0"/>
          <w:bCs w:val="0"/>
          <w:color w:val="111111"/>
          <w:sz w:val="16"/>
          <w:szCs w:val="16"/>
          <w:shd w:val="clear" w:color="auto" w:fill="FFFFFF"/>
        </w:rPr>
        <w:t>Coercive</w:t>
      </w:r>
      <w:r w:rsidRPr="009B267D">
        <w:rPr>
          <w:rFonts w:ascii="Century Gothic" w:hAnsi="Century Gothic"/>
          <w:b/>
          <w:bCs/>
          <w:color w:val="111111"/>
          <w:sz w:val="16"/>
          <w:szCs w:val="16"/>
          <w:shd w:val="clear" w:color="auto" w:fill="FFFFFF"/>
        </w:rPr>
        <w:t> </w:t>
      </w:r>
      <w:r w:rsidRPr="009B267D">
        <w:rPr>
          <w:rStyle w:val="Strong"/>
          <w:rFonts w:ascii="Century Gothic" w:hAnsi="Century Gothic"/>
          <w:b w:val="0"/>
          <w:bCs w:val="0"/>
          <w:color w:val="111111"/>
          <w:sz w:val="16"/>
          <w:szCs w:val="16"/>
          <w:shd w:val="clear" w:color="auto" w:fill="FFFFFF"/>
        </w:rPr>
        <w:t>control</w:t>
      </w:r>
      <w:r w:rsidRPr="009B267D">
        <w:rPr>
          <w:rFonts w:ascii="Century Gothic" w:hAnsi="Century Gothic"/>
          <w:b/>
          <w:bCs/>
          <w:color w:val="111111"/>
          <w:sz w:val="16"/>
          <w:szCs w:val="16"/>
          <w:shd w:val="clear" w:color="auto" w:fill="FFFFFF"/>
        </w:rPr>
        <w:t> </w:t>
      </w:r>
      <w:r w:rsidRPr="009B267D">
        <w:rPr>
          <w:rFonts w:ascii="Century Gothic" w:hAnsi="Century Gothic"/>
          <w:color w:val="111111"/>
          <w:sz w:val="16"/>
          <w:szCs w:val="16"/>
          <w:shd w:val="clear" w:color="auto" w:fill="FFFFFF"/>
        </w:rPr>
        <w:t>is an act or a pattern of acts of assault, threats, humiliation and intimidation or other abuse that is used to harm, punish, or frighten their victim.</w:t>
      </w:r>
    </w:p>
  </w:footnote>
  <w:footnote w:id="8">
    <w:p w14:paraId="7A9CBE22" w14:textId="1124E355" w:rsidR="008F5341" w:rsidRPr="00243F41" w:rsidRDefault="008F5341" w:rsidP="00243F41">
      <w:pPr>
        <w:pStyle w:val="legrhs"/>
        <w:shd w:val="clear" w:color="auto" w:fill="FFFFFF"/>
        <w:spacing w:before="0" w:beforeAutospacing="0" w:after="120" w:afterAutospacing="0"/>
        <w:jc w:val="both"/>
        <w:rPr>
          <w:rFonts w:ascii="Century Gothic" w:hAnsi="Century Gothic"/>
          <w:sz w:val="16"/>
          <w:szCs w:val="16"/>
        </w:rPr>
      </w:pPr>
      <w:r>
        <w:rPr>
          <w:rStyle w:val="FootnoteReference"/>
        </w:rPr>
        <w:footnoteRef/>
      </w:r>
      <w:r>
        <w:t xml:space="preserve"> </w:t>
      </w:r>
      <w:r w:rsidRPr="00243F41">
        <w:rPr>
          <w:rFonts w:ascii="Century Gothic" w:hAnsi="Century Gothic"/>
          <w:sz w:val="16"/>
          <w:szCs w:val="16"/>
        </w:rPr>
        <w:t xml:space="preserve">Where a local authority </w:t>
      </w:r>
      <w:proofErr w:type="gramStart"/>
      <w:r w:rsidRPr="00243F41">
        <w:rPr>
          <w:rFonts w:ascii="Century Gothic" w:hAnsi="Century Gothic" w:cs="Arial"/>
          <w:color w:val="000000"/>
          <w:sz w:val="16"/>
          <w:szCs w:val="16"/>
          <w:shd w:val="clear" w:color="auto" w:fill="FFFFFF"/>
        </w:rPr>
        <w:t>have</w:t>
      </w:r>
      <w:proofErr w:type="gramEnd"/>
      <w:r w:rsidRPr="00243F41">
        <w:rPr>
          <w:rFonts w:ascii="Century Gothic" w:hAnsi="Century Gothic" w:cs="Arial"/>
          <w:color w:val="000000"/>
          <w:sz w:val="16"/>
          <w:szCs w:val="16"/>
          <w:shd w:val="clear" w:color="auto" w:fill="FFFFFF"/>
        </w:rPr>
        <w:t xml:space="preserve"> reasonable cause to suspect that a child who lives, or is found, in their area is suffering, or is likely to suffer, significant harm</w:t>
      </w:r>
      <w:r w:rsidRPr="00243F41">
        <w:rPr>
          <w:rFonts w:ascii="Century Gothic" w:hAnsi="Century Gothic"/>
          <w:color w:val="000000"/>
          <w:sz w:val="16"/>
          <w:szCs w:val="16"/>
          <w:shd w:val="clear" w:color="auto" w:fill="FFFFFF"/>
        </w:rPr>
        <w:t xml:space="preserve">. </w:t>
      </w:r>
      <w:r>
        <w:rPr>
          <w:rFonts w:ascii="Century Gothic" w:hAnsi="Century Gothic"/>
          <w:color w:val="000000"/>
          <w:sz w:val="16"/>
          <w:szCs w:val="16"/>
          <w:shd w:val="clear" w:color="auto" w:fill="FFFFFF"/>
        </w:rPr>
        <w:t>t</w:t>
      </w:r>
      <w:r w:rsidRPr="00243F41">
        <w:rPr>
          <w:rFonts w:ascii="Century Gothic" w:hAnsi="Century Gothic"/>
          <w:color w:val="000000"/>
          <w:sz w:val="16"/>
          <w:szCs w:val="16"/>
        </w:rPr>
        <w:t>he authority shall make, or cause to be made, such enquiries as they consider necessary to enable them to decide whether they should take any action to safeguard or promote the child’s welfare.</w:t>
      </w:r>
    </w:p>
  </w:footnote>
  <w:footnote w:id="9">
    <w:p w14:paraId="61692E7B" w14:textId="77777777" w:rsidR="008F5341" w:rsidRPr="00987EAE" w:rsidRDefault="008F5341" w:rsidP="00A0465C">
      <w:pPr>
        <w:pStyle w:val="FootnoteText"/>
        <w:rPr>
          <w:rFonts w:ascii="Century Gothic" w:hAnsi="Century Gothic"/>
          <w:sz w:val="16"/>
          <w:szCs w:val="16"/>
        </w:rPr>
      </w:pPr>
      <w:r>
        <w:rPr>
          <w:rStyle w:val="FootnoteReference"/>
        </w:rPr>
        <w:footnoteRef/>
      </w:r>
      <w:r>
        <w:t xml:space="preserve"> </w:t>
      </w:r>
      <w:r w:rsidRPr="00987EAE">
        <w:rPr>
          <w:rFonts w:ascii="Century Gothic" w:hAnsi="Century Gothic" w:cs="Segoe UI"/>
          <w:sz w:val="16"/>
          <w:szCs w:val="16"/>
          <w:shd w:val="clear" w:color="auto" w:fill="FFFFFF"/>
        </w:rPr>
        <w:t>The Serious Incident framework describes the process and procedures to help ensure serious incidents are identified correctly, investigated thoroughly and, most importantly, learned from to prevent the likelihood of similar incidents happening again.</w:t>
      </w:r>
    </w:p>
  </w:footnote>
  <w:footnote w:id="10">
    <w:p w14:paraId="129D5119" w14:textId="77777777" w:rsidR="008F5341" w:rsidRPr="00C67651" w:rsidRDefault="008F5341" w:rsidP="008478F1">
      <w:pPr>
        <w:pStyle w:val="FootnoteText"/>
        <w:rPr>
          <w:rFonts w:ascii="Century Gothic" w:hAnsi="Century Gothic"/>
          <w:sz w:val="16"/>
          <w:szCs w:val="16"/>
        </w:rPr>
      </w:pPr>
      <w:r w:rsidRPr="00C67651">
        <w:rPr>
          <w:rStyle w:val="FootnoteReference"/>
          <w:rFonts w:ascii="Century Gothic" w:hAnsi="Century Gothic"/>
          <w:sz w:val="16"/>
          <w:szCs w:val="16"/>
        </w:rPr>
        <w:footnoteRef/>
      </w:r>
      <w:r w:rsidRPr="00C67651">
        <w:rPr>
          <w:rFonts w:ascii="Century Gothic" w:hAnsi="Century Gothic"/>
          <w:sz w:val="16"/>
          <w:szCs w:val="16"/>
        </w:rPr>
        <w:t xml:space="preserve"> Health visitors lead and deliver the Healthy Child Programme. The HCP is the evidence based public health programme for children and young people, which provides a range of health interventions and support beginning in pregnancy and continuing through early childhood.</w:t>
      </w:r>
    </w:p>
  </w:footnote>
  <w:footnote w:id="11">
    <w:p w14:paraId="08FEB296" w14:textId="77777777" w:rsidR="008F5341" w:rsidRPr="0023321C" w:rsidRDefault="008F5341" w:rsidP="00B40266">
      <w:pPr>
        <w:pStyle w:val="FootnoteText"/>
        <w:rPr>
          <w:rFonts w:ascii="Century Gothic" w:hAnsi="Century Gothic"/>
          <w:sz w:val="16"/>
          <w:szCs w:val="16"/>
        </w:rPr>
      </w:pPr>
      <w:r w:rsidRPr="0023321C">
        <w:rPr>
          <w:rStyle w:val="FootnoteReference"/>
          <w:rFonts w:ascii="Century Gothic" w:hAnsi="Century Gothic"/>
          <w:sz w:val="16"/>
          <w:szCs w:val="16"/>
        </w:rPr>
        <w:footnoteRef/>
      </w:r>
      <w:r w:rsidRPr="0023321C">
        <w:rPr>
          <w:rFonts w:ascii="Century Gothic" w:hAnsi="Century Gothic"/>
          <w:sz w:val="16"/>
          <w:szCs w:val="16"/>
        </w:rPr>
        <w:t xml:space="preserve"> Out of routine: A review of sudden unexpected death in infancy (SUDI) in families where the children are considered at risk of significant harm. Final report July 2020</w:t>
      </w:r>
    </w:p>
  </w:footnote>
  <w:footnote w:id="12">
    <w:p w14:paraId="77DFF4CB" w14:textId="2915120A" w:rsidR="008F5341" w:rsidRPr="00142B66" w:rsidRDefault="008F5341" w:rsidP="00142B66">
      <w:pPr>
        <w:pStyle w:val="Heading1"/>
        <w:spacing w:before="0" w:after="343"/>
        <w:rPr>
          <w:rFonts w:ascii="Century Gothic" w:hAnsi="Century Gothic"/>
          <w:sz w:val="16"/>
          <w:szCs w:val="16"/>
        </w:rPr>
      </w:pPr>
      <w:r w:rsidRPr="00634BA3">
        <w:rPr>
          <w:rStyle w:val="FootnoteReference"/>
          <w:rFonts w:ascii="Century Gothic" w:hAnsi="Century Gothic"/>
          <w:sz w:val="16"/>
          <w:szCs w:val="16"/>
        </w:rPr>
        <w:footnoteRef/>
      </w:r>
      <w:r w:rsidRPr="00634BA3">
        <w:rPr>
          <w:rFonts w:ascii="Century Gothic" w:hAnsi="Century Gothic"/>
          <w:sz w:val="16"/>
          <w:szCs w:val="16"/>
        </w:rPr>
        <w:t xml:space="preserve"> </w:t>
      </w:r>
      <w:r w:rsidRPr="00634BA3">
        <w:rPr>
          <w:rFonts w:ascii="Century Gothic" w:eastAsia="Times New Roman" w:hAnsi="Century Gothic" w:cs="Arial"/>
          <w:color w:val="111111"/>
          <w:kern w:val="36"/>
          <w:sz w:val="16"/>
          <w:szCs w:val="16"/>
          <w:lang w:val="en" w:eastAsia="en-GB"/>
        </w:rPr>
        <w:t xml:space="preserve">Used infant mattresses and sudden infant death syndrome in Scotland: Case-control study, </w:t>
      </w:r>
      <w:r w:rsidRPr="00634BA3">
        <w:rPr>
          <w:rFonts w:ascii="Century Gothic" w:eastAsia="Times New Roman" w:hAnsi="Century Gothic" w:cs="Arial"/>
          <w:color w:val="111111"/>
          <w:sz w:val="16"/>
          <w:szCs w:val="16"/>
          <w:lang w:val="en" w:eastAsia="en-GB"/>
        </w:rPr>
        <w:t>December 2002. BMJ Online</w:t>
      </w:r>
    </w:p>
  </w:footnote>
  <w:footnote w:id="13">
    <w:p w14:paraId="4B3B453E" w14:textId="523D565F" w:rsidR="00142B66" w:rsidRDefault="00142B66">
      <w:pPr>
        <w:pStyle w:val="FootnoteText"/>
      </w:pPr>
      <w:r w:rsidRPr="00142B66">
        <w:rPr>
          <w:rStyle w:val="FootnoteReference"/>
          <w:rFonts w:ascii="Century Gothic" w:hAnsi="Century Gothic"/>
          <w:sz w:val="16"/>
          <w:szCs w:val="16"/>
        </w:rPr>
        <w:footnoteRef/>
      </w:r>
      <w:r w:rsidRPr="00142B66">
        <w:rPr>
          <w:rFonts w:ascii="Century Gothic" w:hAnsi="Century Gothic"/>
          <w:sz w:val="16"/>
          <w:szCs w:val="16"/>
        </w:rPr>
        <w:t xml:space="preserve"> </w:t>
      </w:r>
      <w:hyperlink r:id="rId1" w:history="1">
        <w:r w:rsidRPr="00142B66">
          <w:rPr>
            <w:rFonts w:ascii="Century Gothic" w:hAnsi="Century Gothic"/>
            <w:color w:val="0000FF"/>
            <w:sz w:val="16"/>
            <w:szCs w:val="16"/>
            <w:u w:val="single"/>
          </w:rPr>
          <w:t>Health Services - Safe use of bed rails</w:t>
        </w:r>
      </w:hyperlink>
    </w:p>
  </w:footnote>
  <w:footnote w:id="14">
    <w:p w14:paraId="69800A1B" w14:textId="34DFA2EE" w:rsidR="008F5341" w:rsidRPr="00343569" w:rsidRDefault="008F5341">
      <w:pPr>
        <w:pStyle w:val="FootnoteText"/>
        <w:rPr>
          <w:sz w:val="16"/>
          <w:szCs w:val="16"/>
        </w:rPr>
      </w:pPr>
      <w:r>
        <w:rPr>
          <w:rStyle w:val="FootnoteReference"/>
        </w:rPr>
        <w:footnoteRef/>
      </w:r>
      <w:r>
        <w:t xml:space="preserve"> </w:t>
      </w:r>
      <w:r w:rsidRPr="00343569">
        <w:rPr>
          <w:sz w:val="16"/>
          <w:szCs w:val="16"/>
        </w:rPr>
        <w:t>Amanda Spielman</w:t>
      </w:r>
      <w:r>
        <w:rPr>
          <w:sz w:val="16"/>
          <w:szCs w:val="16"/>
        </w:rPr>
        <w:t>, Ofsted Chief Inspector</w:t>
      </w:r>
      <w:r w:rsidRPr="00343569">
        <w:rPr>
          <w:sz w:val="16"/>
          <w:szCs w:val="16"/>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990E" w14:textId="291189FE" w:rsidR="008F5341" w:rsidRDefault="00C30AA2">
    <w:pPr>
      <w:pStyle w:val="Header"/>
    </w:pPr>
    <w:sdt>
      <w:sdtPr>
        <w:rPr>
          <w:sz w:val="18"/>
          <w:szCs w:val="18"/>
        </w:rPr>
        <w:id w:val="1761713075"/>
        <w:docPartObj>
          <w:docPartGallery w:val="Watermarks"/>
          <w:docPartUnique/>
        </w:docPartObj>
      </w:sdtPr>
      <w:sdtEndPr/>
      <w:sdtContent>
        <w:r>
          <w:rPr>
            <w:noProof/>
            <w:sz w:val="18"/>
            <w:szCs w:val="18"/>
          </w:rPr>
          <w:pict w14:anchorId="38E5B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590533">
      <w:rPr>
        <w:sz w:val="18"/>
        <w:szCs w:val="18"/>
      </w:rPr>
      <w:t xml:space="preserve">Final April </w:t>
    </w:r>
    <w:r w:rsidR="008F5341">
      <w:rPr>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82F"/>
    <w:multiLevelType w:val="hybridMultilevel"/>
    <w:tmpl w:val="CFEE7EF4"/>
    <w:lvl w:ilvl="0" w:tplc="9E906584">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4996"/>
    <w:multiLevelType w:val="hybridMultilevel"/>
    <w:tmpl w:val="6BF285C4"/>
    <w:lvl w:ilvl="0" w:tplc="319447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C4432F"/>
    <w:multiLevelType w:val="multilevel"/>
    <w:tmpl w:val="5CE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4485A"/>
    <w:multiLevelType w:val="multilevel"/>
    <w:tmpl w:val="E4E001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F43771"/>
    <w:multiLevelType w:val="hybridMultilevel"/>
    <w:tmpl w:val="164E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D3A81"/>
    <w:multiLevelType w:val="multilevel"/>
    <w:tmpl w:val="5A56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A12E14"/>
    <w:multiLevelType w:val="hybridMultilevel"/>
    <w:tmpl w:val="FEB40A44"/>
    <w:lvl w:ilvl="0" w:tplc="3F3EBAD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16955"/>
    <w:multiLevelType w:val="hybridMultilevel"/>
    <w:tmpl w:val="72BC24B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546FE8"/>
    <w:multiLevelType w:val="multilevel"/>
    <w:tmpl w:val="E4E001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56778E9"/>
    <w:multiLevelType w:val="hybridMultilevel"/>
    <w:tmpl w:val="0EA04B28"/>
    <w:lvl w:ilvl="0" w:tplc="A766944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D6682"/>
    <w:multiLevelType w:val="multilevel"/>
    <w:tmpl w:val="9DB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F427C"/>
    <w:multiLevelType w:val="multilevel"/>
    <w:tmpl w:val="5A56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C83705"/>
    <w:multiLevelType w:val="hybridMultilevel"/>
    <w:tmpl w:val="D76AA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852D8"/>
    <w:multiLevelType w:val="multilevel"/>
    <w:tmpl w:val="D17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30EAE"/>
    <w:multiLevelType w:val="multilevel"/>
    <w:tmpl w:val="E4E001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0016C3"/>
    <w:multiLevelType w:val="multilevel"/>
    <w:tmpl w:val="BCF4588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D131211"/>
    <w:multiLevelType w:val="hybridMultilevel"/>
    <w:tmpl w:val="8CA2CAA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B81EE6"/>
    <w:multiLevelType w:val="hybridMultilevel"/>
    <w:tmpl w:val="36BC4C02"/>
    <w:lvl w:ilvl="0" w:tplc="B4D840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434FBB"/>
    <w:multiLevelType w:val="hybridMultilevel"/>
    <w:tmpl w:val="2348E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E131EE"/>
    <w:multiLevelType w:val="hybridMultilevel"/>
    <w:tmpl w:val="362A4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E4075"/>
    <w:multiLevelType w:val="multilevel"/>
    <w:tmpl w:val="E4E001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04A18EB"/>
    <w:multiLevelType w:val="multilevel"/>
    <w:tmpl w:val="BCF4588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9225140"/>
    <w:multiLevelType w:val="multilevel"/>
    <w:tmpl w:val="5A56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96A1976"/>
    <w:multiLevelType w:val="hybridMultilevel"/>
    <w:tmpl w:val="B0E4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19"/>
  </w:num>
  <w:num w:numId="4">
    <w:abstractNumId w:val="10"/>
  </w:num>
  <w:num w:numId="5">
    <w:abstractNumId w:val="13"/>
  </w:num>
  <w:num w:numId="6">
    <w:abstractNumId w:val="12"/>
  </w:num>
  <w:num w:numId="7">
    <w:abstractNumId w:val="2"/>
  </w:num>
  <w:num w:numId="8">
    <w:abstractNumId w:val="4"/>
  </w:num>
  <w:num w:numId="9">
    <w:abstractNumId w:val="18"/>
  </w:num>
  <w:num w:numId="10">
    <w:abstractNumId w:val="21"/>
  </w:num>
  <w:num w:numId="11">
    <w:abstractNumId w:val="6"/>
  </w:num>
  <w:num w:numId="12">
    <w:abstractNumId w:val="5"/>
  </w:num>
  <w:num w:numId="13">
    <w:abstractNumId w:val="11"/>
  </w:num>
  <w:num w:numId="14">
    <w:abstractNumId w:val="22"/>
  </w:num>
  <w:num w:numId="15">
    <w:abstractNumId w:val="14"/>
  </w:num>
  <w:num w:numId="16">
    <w:abstractNumId w:val="20"/>
  </w:num>
  <w:num w:numId="17">
    <w:abstractNumId w:val="3"/>
  </w:num>
  <w:num w:numId="18">
    <w:abstractNumId w:val="8"/>
  </w:num>
  <w:num w:numId="19">
    <w:abstractNumId w:val="15"/>
  </w:num>
  <w:num w:numId="20">
    <w:abstractNumId w:val="16"/>
  </w:num>
  <w:num w:numId="21">
    <w:abstractNumId w:val="7"/>
  </w:num>
  <w:num w:numId="22">
    <w:abstractNumId w:val="1"/>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85"/>
    <w:rsid w:val="000006B2"/>
    <w:rsid w:val="00001245"/>
    <w:rsid w:val="00001E2A"/>
    <w:rsid w:val="000029F0"/>
    <w:rsid w:val="0000464A"/>
    <w:rsid w:val="000053EF"/>
    <w:rsid w:val="00005435"/>
    <w:rsid w:val="000111EA"/>
    <w:rsid w:val="00014B4F"/>
    <w:rsid w:val="0002053E"/>
    <w:rsid w:val="00020F72"/>
    <w:rsid w:val="0002134A"/>
    <w:rsid w:val="000221A1"/>
    <w:rsid w:val="000237E6"/>
    <w:rsid w:val="00023CAB"/>
    <w:rsid w:val="0002426B"/>
    <w:rsid w:val="000245AF"/>
    <w:rsid w:val="000246FB"/>
    <w:rsid w:val="00024832"/>
    <w:rsid w:val="000250D4"/>
    <w:rsid w:val="00030536"/>
    <w:rsid w:val="00031A3F"/>
    <w:rsid w:val="00031B5E"/>
    <w:rsid w:val="00031E6D"/>
    <w:rsid w:val="000339B7"/>
    <w:rsid w:val="00034C82"/>
    <w:rsid w:val="00035B04"/>
    <w:rsid w:val="00035F54"/>
    <w:rsid w:val="0003705E"/>
    <w:rsid w:val="000406B0"/>
    <w:rsid w:val="00040744"/>
    <w:rsid w:val="00040931"/>
    <w:rsid w:val="00040D0E"/>
    <w:rsid w:val="00041710"/>
    <w:rsid w:val="0004238A"/>
    <w:rsid w:val="00042D28"/>
    <w:rsid w:val="00042E11"/>
    <w:rsid w:val="000432F7"/>
    <w:rsid w:val="000456FE"/>
    <w:rsid w:val="00046AE0"/>
    <w:rsid w:val="000473B7"/>
    <w:rsid w:val="00050010"/>
    <w:rsid w:val="00050014"/>
    <w:rsid w:val="00050225"/>
    <w:rsid w:val="00050501"/>
    <w:rsid w:val="00052610"/>
    <w:rsid w:val="000543C9"/>
    <w:rsid w:val="000553FA"/>
    <w:rsid w:val="00055788"/>
    <w:rsid w:val="000605DD"/>
    <w:rsid w:val="000605FF"/>
    <w:rsid w:val="000612EC"/>
    <w:rsid w:val="00062B0E"/>
    <w:rsid w:val="00063207"/>
    <w:rsid w:val="00063DC2"/>
    <w:rsid w:val="00064389"/>
    <w:rsid w:val="00067C71"/>
    <w:rsid w:val="000707BC"/>
    <w:rsid w:val="00070AC4"/>
    <w:rsid w:val="00072A1C"/>
    <w:rsid w:val="00073A9A"/>
    <w:rsid w:val="00074776"/>
    <w:rsid w:val="00076DA1"/>
    <w:rsid w:val="00077E56"/>
    <w:rsid w:val="00080630"/>
    <w:rsid w:val="0008192D"/>
    <w:rsid w:val="000835B0"/>
    <w:rsid w:val="000839C8"/>
    <w:rsid w:val="000846F7"/>
    <w:rsid w:val="00085A00"/>
    <w:rsid w:val="00091960"/>
    <w:rsid w:val="00091BBC"/>
    <w:rsid w:val="00092F4F"/>
    <w:rsid w:val="000932D0"/>
    <w:rsid w:val="0009375D"/>
    <w:rsid w:val="000938F6"/>
    <w:rsid w:val="000969D4"/>
    <w:rsid w:val="00097D5B"/>
    <w:rsid w:val="000A0640"/>
    <w:rsid w:val="000A1E47"/>
    <w:rsid w:val="000A2DC0"/>
    <w:rsid w:val="000A3A5E"/>
    <w:rsid w:val="000A4E26"/>
    <w:rsid w:val="000A4E30"/>
    <w:rsid w:val="000A65CC"/>
    <w:rsid w:val="000A697B"/>
    <w:rsid w:val="000A7BA2"/>
    <w:rsid w:val="000B0337"/>
    <w:rsid w:val="000B28A6"/>
    <w:rsid w:val="000B370B"/>
    <w:rsid w:val="000B4CFC"/>
    <w:rsid w:val="000B649E"/>
    <w:rsid w:val="000C1FDA"/>
    <w:rsid w:val="000C4C3D"/>
    <w:rsid w:val="000C5B2D"/>
    <w:rsid w:val="000C7930"/>
    <w:rsid w:val="000D079C"/>
    <w:rsid w:val="000D0C11"/>
    <w:rsid w:val="000D0FB6"/>
    <w:rsid w:val="000D1036"/>
    <w:rsid w:val="000D1676"/>
    <w:rsid w:val="000D20C6"/>
    <w:rsid w:val="000D2B5D"/>
    <w:rsid w:val="000D36A2"/>
    <w:rsid w:val="000D40FC"/>
    <w:rsid w:val="000D432C"/>
    <w:rsid w:val="000D43D5"/>
    <w:rsid w:val="000D5E7A"/>
    <w:rsid w:val="000D75F9"/>
    <w:rsid w:val="000D76E7"/>
    <w:rsid w:val="000E0F60"/>
    <w:rsid w:val="000E231E"/>
    <w:rsid w:val="000F0DA8"/>
    <w:rsid w:val="000F2331"/>
    <w:rsid w:val="000F2D69"/>
    <w:rsid w:val="000F2E5A"/>
    <w:rsid w:val="000F3FA1"/>
    <w:rsid w:val="000F6D74"/>
    <w:rsid w:val="000F7A3E"/>
    <w:rsid w:val="00101AA5"/>
    <w:rsid w:val="00103B32"/>
    <w:rsid w:val="00107A16"/>
    <w:rsid w:val="0011023E"/>
    <w:rsid w:val="001123BB"/>
    <w:rsid w:val="0011492D"/>
    <w:rsid w:val="001149B5"/>
    <w:rsid w:val="00114C50"/>
    <w:rsid w:val="00114E0E"/>
    <w:rsid w:val="00115619"/>
    <w:rsid w:val="00116710"/>
    <w:rsid w:val="00116741"/>
    <w:rsid w:val="00116B9B"/>
    <w:rsid w:val="00116EE0"/>
    <w:rsid w:val="00117791"/>
    <w:rsid w:val="00120078"/>
    <w:rsid w:val="00120729"/>
    <w:rsid w:val="00120E69"/>
    <w:rsid w:val="00121188"/>
    <w:rsid w:val="00123161"/>
    <w:rsid w:val="001269C6"/>
    <w:rsid w:val="00126C16"/>
    <w:rsid w:val="00130247"/>
    <w:rsid w:val="00132C09"/>
    <w:rsid w:val="00132FAC"/>
    <w:rsid w:val="00133D36"/>
    <w:rsid w:val="001354FC"/>
    <w:rsid w:val="00135F08"/>
    <w:rsid w:val="001361D4"/>
    <w:rsid w:val="001363A1"/>
    <w:rsid w:val="001365B4"/>
    <w:rsid w:val="00141493"/>
    <w:rsid w:val="00142B66"/>
    <w:rsid w:val="00142CE2"/>
    <w:rsid w:val="00143296"/>
    <w:rsid w:val="00143FE9"/>
    <w:rsid w:val="00146774"/>
    <w:rsid w:val="001503D0"/>
    <w:rsid w:val="001508CA"/>
    <w:rsid w:val="00151997"/>
    <w:rsid w:val="0015267C"/>
    <w:rsid w:val="00154BC8"/>
    <w:rsid w:val="00155851"/>
    <w:rsid w:val="001558BA"/>
    <w:rsid w:val="00156A74"/>
    <w:rsid w:val="00161012"/>
    <w:rsid w:val="00164553"/>
    <w:rsid w:val="00165AF1"/>
    <w:rsid w:val="001716F0"/>
    <w:rsid w:val="00171AA8"/>
    <w:rsid w:val="00171DDD"/>
    <w:rsid w:val="001721EA"/>
    <w:rsid w:val="00172FF5"/>
    <w:rsid w:val="00175C61"/>
    <w:rsid w:val="00176BB5"/>
    <w:rsid w:val="00176FE0"/>
    <w:rsid w:val="001775ED"/>
    <w:rsid w:val="00181D8D"/>
    <w:rsid w:val="0018263C"/>
    <w:rsid w:val="00183C02"/>
    <w:rsid w:val="001848A1"/>
    <w:rsid w:val="00184A4E"/>
    <w:rsid w:val="00190C50"/>
    <w:rsid w:val="00190CEA"/>
    <w:rsid w:val="00193352"/>
    <w:rsid w:val="00194247"/>
    <w:rsid w:val="00194F3E"/>
    <w:rsid w:val="00195084"/>
    <w:rsid w:val="001952A5"/>
    <w:rsid w:val="00195CA0"/>
    <w:rsid w:val="00196511"/>
    <w:rsid w:val="00197E1C"/>
    <w:rsid w:val="001A0499"/>
    <w:rsid w:val="001A294D"/>
    <w:rsid w:val="001A2D2B"/>
    <w:rsid w:val="001A3B2B"/>
    <w:rsid w:val="001A473E"/>
    <w:rsid w:val="001A5BDB"/>
    <w:rsid w:val="001A5D51"/>
    <w:rsid w:val="001A6C37"/>
    <w:rsid w:val="001A757E"/>
    <w:rsid w:val="001A7E28"/>
    <w:rsid w:val="001B02B9"/>
    <w:rsid w:val="001B07B3"/>
    <w:rsid w:val="001B0801"/>
    <w:rsid w:val="001B1E55"/>
    <w:rsid w:val="001B2CD1"/>
    <w:rsid w:val="001B47DC"/>
    <w:rsid w:val="001C217C"/>
    <w:rsid w:val="001C2E00"/>
    <w:rsid w:val="001C2EAC"/>
    <w:rsid w:val="001C42B0"/>
    <w:rsid w:val="001C45F2"/>
    <w:rsid w:val="001C47DF"/>
    <w:rsid w:val="001C6060"/>
    <w:rsid w:val="001C7DA2"/>
    <w:rsid w:val="001D0B30"/>
    <w:rsid w:val="001D19D2"/>
    <w:rsid w:val="001D1EC6"/>
    <w:rsid w:val="001D3070"/>
    <w:rsid w:val="001D4D48"/>
    <w:rsid w:val="001D7BA0"/>
    <w:rsid w:val="001E0D86"/>
    <w:rsid w:val="001E150A"/>
    <w:rsid w:val="001E15AA"/>
    <w:rsid w:val="001E27FA"/>
    <w:rsid w:val="001E3CE4"/>
    <w:rsid w:val="001E50D7"/>
    <w:rsid w:val="001E5E01"/>
    <w:rsid w:val="001E6F80"/>
    <w:rsid w:val="001F49F7"/>
    <w:rsid w:val="001F5742"/>
    <w:rsid w:val="001F65C4"/>
    <w:rsid w:val="001F6E9E"/>
    <w:rsid w:val="002004F9"/>
    <w:rsid w:val="0020079A"/>
    <w:rsid w:val="00201326"/>
    <w:rsid w:val="002015D1"/>
    <w:rsid w:val="0020200E"/>
    <w:rsid w:val="0020211C"/>
    <w:rsid w:val="00202C7D"/>
    <w:rsid w:val="0020363D"/>
    <w:rsid w:val="00203E9F"/>
    <w:rsid w:val="0020435E"/>
    <w:rsid w:val="00206A38"/>
    <w:rsid w:val="00206D60"/>
    <w:rsid w:val="00207557"/>
    <w:rsid w:val="00207A8F"/>
    <w:rsid w:val="00211054"/>
    <w:rsid w:val="002127FA"/>
    <w:rsid w:val="002145ED"/>
    <w:rsid w:val="00214AEF"/>
    <w:rsid w:val="00217DDA"/>
    <w:rsid w:val="00221E64"/>
    <w:rsid w:val="00222D0F"/>
    <w:rsid w:val="00222D3A"/>
    <w:rsid w:val="0022409E"/>
    <w:rsid w:val="00225A48"/>
    <w:rsid w:val="00226617"/>
    <w:rsid w:val="002319E2"/>
    <w:rsid w:val="00232A8F"/>
    <w:rsid w:val="0023321C"/>
    <w:rsid w:val="0023360C"/>
    <w:rsid w:val="00233AC8"/>
    <w:rsid w:val="00234079"/>
    <w:rsid w:val="00234875"/>
    <w:rsid w:val="00235CDE"/>
    <w:rsid w:val="00236520"/>
    <w:rsid w:val="0024089B"/>
    <w:rsid w:val="002418F2"/>
    <w:rsid w:val="00242DBC"/>
    <w:rsid w:val="00243F41"/>
    <w:rsid w:val="00243F6D"/>
    <w:rsid w:val="00244270"/>
    <w:rsid w:val="00250464"/>
    <w:rsid w:val="00250789"/>
    <w:rsid w:val="00252E9B"/>
    <w:rsid w:val="00260B29"/>
    <w:rsid w:val="00260EE9"/>
    <w:rsid w:val="00260FD7"/>
    <w:rsid w:val="002617EB"/>
    <w:rsid w:val="00262CEA"/>
    <w:rsid w:val="00263C0C"/>
    <w:rsid w:val="00263E17"/>
    <w:rsid w:val="0026459A"/>
    <w:rsid w:val="00264B9B"/>
    <w:rsid w:val="00265323"/>
    <w:rsid w:val="00267A2C"/>
    <w:rsid w:val="0027264D"/>
    <w:rsid w:val="0027315F"/>
    <w:rsid w:val="00273BFE"/>
    <w:rsid w:val="00273DEF"/>
    <w:rsid w:val="00274627"/>
    <w:rsid w:val="00277E94"/>
    <w:rsid w:val="00281E6F"/>
    <w:rsid w:val="002823D1"/>
    <w:rsid w:val="002841B8"/>
    <w:rsid w:val="002847DF"/>
    <w:rsid w:val="002865A5"/>
    <w:rsid w:val="00286AB4"/>
    <w:rsid w:val="002877FD"/>
    <w:rsid w:val="00291466"/>
    <w:rsid w:val="00292DF4"/>
    <w:rsid w:val="00294E3B"/>
    <w:rsid w:val="00295FF5"/>
    <w:rsid w:val="002963FE"/>
    <w:rsid w:val="002A0A61"/>
    <w:rsid w:val="002A0D8E"/>
    <w:rsid w:val="002A17FA"/>
    <w:rsid w:val="002A236A"/>
    <w:rsid w:val="002A32B9"/>
    <w:rsid w:val="002A3D35"/>
    <w:rsid w:val="002A41E6"/>
    <w:rsid w:val="002A46AD"/>
    <w:rsid w:val="002A4D62"/>
    <w:rsid w:val="002A5A3C"/>
    <w:rsid w:val="002A5FCF"/>
    <w:rsid w:val="002A638E"/>
    <w:rsid w:val="002A6540"/>
    <w:rsid w:val="002A6885"/>
    <w:rsid w:val="002A7666"/>
    <w:rsid w:val="002B24A9"/>
    <w:rsid w:val="002B266B"/>
    <w:rsid w:val="002B29F5"/>
    <w:rsid w:val="002B42D5"/>
    <w:rsid w:val="002B7DD1"/>
    <w:rsid w:val="002C020F"/>
    <w:rsid w:val="002C13DE"/>
    <w:rsid w:val="002C177C"/>
    <w:rsid w:val="002C2479"/>
    <w:rsid w:val="002C26D5"/>
    <w:rsid w:val="002C2CF1"/>
    <w:rsid w:val="002C73A9"/>
    <w:rsid w:val="002C76EC"/>
    <w:rsid w:val="002C7D84"/>
    <w:rsid w:val="002D09BB"/>
    <w:rsid w:val="002D0CE4"/>
    <w:rsid w:val="002D2A75"/>
    <w:rsid w:val="002D4729"/>
    <w:rsid w:val="002D692A"/>
    <w:rsid w:val="002D6D7A"/>
    <w:rsid w:val="002E023B"/>
    <w:rsid w:val="002E1C2F"/>
    <w:rsid w:val="002E226B"/>
    <w:rsid w:val="002E37A8"/>
    <w:rsid w:val="002E6761"/>
    <w:rsid w:val="002E68BE"/>
    <w:rsid w:val="002E6CC7"/>
    <w:rsid w:val="002E7A54"/>
    <w:rsid w:val="002F3469"/>
    <w:rsid w:val="002F48D7"/>
    <w:rsid w:val="002F4FA6"/>
    <w:rsid w:val="002F7445"/>
    <w:rsid w:val="00300E1F"/>
    <w:rsid w:val="00301B99"/>
    <w:rsid w:val="00301D2A"/>
    <w:rsid w:val="0030281B"/>
    <w:rsid w:val="00303ED2"/>
    <w:rsid w:val="00304F1D"/>
    <w:rsid w:val="00305F5D"/>
    <w:rsid w:val="0030722C"/>
    <w:rsid w:val="00307C35"/>
    <w:rsid w:val="003101FD"/>
    <w:rsid w:val="00310EE1"/>
    <w:rsid w:val="00311C6E"/>
    <w:rsid w:val="0031363C"/>
    <w:rsid w:val="00314684"/>
    <w:rsid w:val="0031479E"/>
    <w:rsid w:val="00316135"/>
    <w:rsid w:val="00316E33"/>
    <w:rsid w:val="003177C0"/>
    <w:rsid w:val="00320095"/>
    <w:rsid w:val="003205B8"/>
    <w:rsid w:val="00321777"/>
    <w:rsid w:val="003217D0"/>
    <w:rsid w:val="00321D0D"/>
    <w:rsid w:val="00322361"/>
    <w:rsid w:val="00322C2C"/>
    <w:rsid w:val="00323790"/>
    <w:rsid w:val="00324E38"/>
    <w:rsid w:val="0032527B"/>
    <w:rsid w:val="00325781"/>
    <w:rsid w:val="003276E6"/>
    <w:rsid w:val="003279C9"/>
    <w:rsid w:val="00330586"/>
    <w:rsid w:val="0033130E"/>
    <w:rsid w:val="003338C6"/>
    <w:rsid w:val="00336961"/>
    <w:rsid w:val="00343569"/>
    <w:rsid w:val="003447EA"/>
    <w:rsid w:val="00345BBD"/>
    <w:rsid w:val="003461ED"/>
    <w:rsid w:val="003527B2"/>
    <w:rsid w:val="00352E63"/>
    <w:rsid w:val="00353E62"/>
    <w:rsid w:val="0035460D"/>
    <w:rsid w:val="00354F52"/>
    <w:rsid w:val="003551E0"/>
    <w:rsid w:val="0035586D"/>
    <w:rsid w:val="00356337"/>
    <w:rsid w:val="00357433"/>
    <w:rsid w:val="00357A44"/>
    <w:rsid w:val="00360AF0"/>
    <w:rsid w:val="00360B49"/>
    <w:rsid w:val="0036155F"/>
    <w:rsid w:val="003619E8"/>
    <w:rsid w:val="003647F1"/>
    <w:rsid w:val="00365587"/>
    <w:rsid w:val="003657C6"/>
    <w:rsid w:val="003704CE"/>
    <w:rsid w:val="00370579"/>
    <w:rsid w:val="00370C52"/>
    <w:rsid w:val="0037142E"/>
    <w:rsid w:val="00371A84"/>
    <w:rsid w:val="00371E5B"/>
    <w:rsid w:val="003734FC"/>
    <w:rsid w:val="00373943"/>
    <w:rsid w:val="00373A41"/>
    <w:rsid w:val="00373B70"/>
    <w:rsid w:val="003754D1"/>
    <w:rsid w:val="003770FB"/>
    <w:rsid w:val="003833DE"/>
    <w:rsid w:val="0038352D"/>
    <w:rsid w:val="0038374A"/>
    <w:rsid w:val="0038375E"/>
    <w:rsid w:val="00383A9B"/>
    <w:rsid w:val="00384227"/>
    <w:rsid w:val="00384B5F"/>
    <w:rsid w:val="0039182D"/>
    <w:rsid w:val="00394177"/>
    <w:rsid w:val="003957B8"/>
    <w:rsid w:val="003A1B63"/>
    <w:rsid w:val="003A1E00"/>
    <w:rsid w:val="003A5D8D"/>
    <w:rsid w:val="003A6780"/>
    <w:rsid w:val="003A680A"/>
    <w:rsid w:val="003A6CF2"/>
    <w:rsid w:val="003A6D2F"/>
    <w:rsid w:val="003A6F69"/>
    <w:rsid w:val="003A7299"/>
    <w:rsid w:val="003B0B51"/>
    <w:rsid w:val="003B100D"/>
    <w:rsid w:val="003B156C"/>
    <w:rsid w:val="003B2CB9"/>
    <w:rsid w:val="003B41A8"/>
    <w:rsid w:val="003B4C41"/>
    <w:rsid w:val="003B5E0F"/>
    <w:rsid w:val="003B6300"/>
    <w:rsid w:val="003B73F6"/>
    <w:rsid w:val="003C2B76"/>
    <w:rsid w:val="003C2C6A"/>
    <w:rsid w:val="003C30ED"/>
    <w:rsid w:val="003C3C7B"/>
    <w:rsid w:val="003C55DB"/>
    <w:rsid w:val="003C7428"/>
    <w:rsid w:val="003C77D8"/>
    <w:rsid w:val="003C7E43"/>
    <w:rsid w:val="003D0D0A"/>
    <w:rsid w:val="003D12B3"/>
    <w:rsid w:val="003D2884"/>
    <w:rsid w:val="003D2948"/>
    <w:rsid w:val="003D3539"/>
    <w:rsid w:val="003D4246"/>
    <w:rsid w:val="003D4280"/>
    <w:rsid w:val="003D4734"/>
    <w:rsid w:val="003D5363"/>
    <w:rsid w:val="003E1BDA"/>
    <w:rsid w:val="003E2597"/>
    <w:rsid w:val="003E4225"/>
    <w:rsid w:val="003E5088"/>
    <w:rsid w:val="003E6336"/>
    <w:rsid w:val="003E65F5"/>
    <w:rsid w:val="003F141C"/>
    <w:rsid w:val="003F2D8B"/>
    <w:rsid w:val="003F4C73"/>
    <w:rsid w:val="003F6A61"/>
    <w:rsid w:val="00401AE1"/>
    <w:rsid w:val="00403230"/>
    <w:rsid w:val="004033B8"/>
    <w:rsid w:val="0040477C"/>
    <w:rsid w:val="004049FB"/>
    <w:rsid w:val="00404ADC"/>
    <w:rsid w:val="004054D0"/>
    <w:rsid w:val="00405761"/>
    <w:rsid w:val="00405EFD"/>
    <w:rsid w:val="0041014F"/>
    <w:rsid w:val="004110D9"/>
    <w:rsid w:val="00411E05"/>
    <w:rsid w:val="00414271"/>
    <w:rsid w:val="0041678E"/>
    <w:rsid w:val="00416DD2"/>
    <w:rsid w:val="00416DE1"/>
    <w:rsid w:val="00417F1F"/>
    <w:rsid w:val="00426EB0"/>
    <w:rsid w:val="00426EF5"/>
    <w:rsid w:val="004271CA"/>
    <w:rsid w:val="00431339"/>
    <w:rsid w:val="0043174F"/>
    <w:rsid w:val="004345FB"/>
    <w:rsid w:val="00436862"/>
    <w:rsid w:val="00437B36"/>
    <w:rsid w:val="00440270"/>
    <w:rsid w:val="00440694"/>
    <w:rsid w:val="004409BE"/>
    <w:rsid w:val="00440B46"/>
    <w:rsid w:val="00442963"/>
    <w:rsid w:val="00443EF5"/>
    <w:rsid w:val="00444F77"/>
    <w:rsid w:val="00445223"/>
    <w:rsid w:val="0044763C"/>
    <w:rsid w:val="00450A7E"/>
    <w:rsid w:val="00454174"/>
    <w:rsid w:val="00455252"/>
    <w:rsid w:val="00455280"/>
    <w:rsid w:val="00455309"/>
    <w:rsid w:val="0045787C"/>
    <w:rsid w:val="00460682"/>
    <w:rsid w:val="00460C3A"/>
    <w:rsid w:val="00461333"/>
    <w:rsid w:val="004634D6"/>
    <w:rsid w:val="004634E8"/>
    <w:rsid w:val="00464EAC"/>
    <w:rsid w:val="00465293"/>
    <w:rsid w:val="004655DC"/>
    <w:rsid w:val="00466A6B"/>
    <w:rsid w:val="00467B51"/>
    <w:rsid w:val="00467F7E"/>
    <w:rsid w:val="00470F08"/>
    <w:rsid w:val="00471073"/>
    <w:rsid w:val="004716A5"/>
    <w:rsid w:val="004727BF"/>
    <w:rsid w:val="00476849"/>
    <w:rsid w:val="00477902"/>
    <w:rsid w:val="00477CF8"/>
    <w:rsid w:val="00482E7A"/>
    <w:rsid w:val="004838E3"/>
    <w:rsid w:val="0048584F"/>
    <w:rsid w:val="00486BC5"/>
    <w:rsid w:val="00486BFC"/>
    <w:rsid w:val="0049244B"/>
    <w:rsid w:val="004924CF"/>
    <w:rsid w:val="004954A0"/>
    <w:rsid w:val="0049559E"/>
    <w:rsid w:val="00497607"/>
    <w:rsid w:val="004A1A6C"/>
    <w:rsid w:val="004A4EE9"/>
    <w:rsid w:val="004A4FD6"/>
    <w:rsid w:val="004A5627"/>
    <w:rsid w:val="004A588E"/>
    <w:rsid w:val="004A7B31"/>
    <w:rsid w:val="004B01FE"/>
    <w:rsid w:val="004B144B"/>
    <w:rsid w:val="004B5754"/>
    <w:rsid w:val="004B6200"/>
    <w:rsid w:val="004C186F"/>
    <w:rsid w:val="004C2E40"/>
    <w:rsid w:val="004C60D0"/>
    <w:rsid w:val="004C7315"/>
    <w:rsid w:val="004D0AC5"/>
    <w:rsid w:val="004D18E7"/>
    <w:rsid w:val="004D26B6"/>
    <w:rsid w:val="004D2D17"/>
    <w:rsid w:val="004D322D"/>
    <w:rsid w:val="004D3A10"/>
    <w:rsid w:val="004D3D89"/>
    <w:rsid w:val="004D781B"/>
    <w:rsid w:val="004E134E"/>
    <w:rsid w:val="004E191F"/>
    <w:rsid w:val="004E275E"/>
    <w:rsid w:val="004E3ABB"/>
    <w:rsid w:val="004E3DCF"/>
    <w:rsid w:val="004E429D"/>
    <w:rsid w:val="004E4602"/>
    <w:rsid w:val="004E5C1E"/>
    <w:rsid w:val="004E6562"/>
    <w:rsid w:val="004E6C97"/>
    <w:rsid w:val="004E6D50"/>
    <w:rsid w:val="004F1EE2"/>
    <w:rsid w:val="004F20B8"/>
    <w:rsid w:val="004F4243"/>
    <w:rsid w:val="004F6886"/>
    <w:rsid w:val="00500C82"/>
    <w:rsid w:val="00501276"/>
    <w:rsid w:val="00501AA7"/>
    <w:rsid w:val="005039AE"/>
    <w:rsid w:val="00503F36"/>
    <w:rsid w:val="00504C86"/>
    <w:rsid w:val="00505003"/>
    <w:rsid w:val="0050604C"/>
    <w:rsid w:val="00510975"/>
    <w:rsid w:val="005116CB"/>
    <w:rsid w:val="00513131"/>
    <w:rsid w:val="00515C2E"/>
    <w:rsid w:val="00515FFF"/>
    <w:rsid w:val="00516039"/>
    <w:rsid w:val="005179DA"/>
    <w:rsid w:val="00521368"/>
    <w:rsid w:val="005229E7"/>
    <w:rsid w:val="00522BCA"/>
    <w:rsid w:val="00523645"/>
    <w:rsid w:val="00523AAA"/>
    <w:rsid w:val="00523B46"/>
    <w:rsid w:val="00524C08"/>
    <w:rsid w:val="0052785E"/>
    <w:rsid w:val="00527C64"/>
    <w:rsid w:val="00530017"/>
    <w:rsid w:val="00531BAC"/>
    <w:rsid w:val="0053231B"/>
    <w:rsid w:val="005328D1"/>
    <w:rsid w:val="00534001"/>
    <w:rsid w:val="005348B4"/>
    <w:rsid w:val="0053657B"/>
    <w:rsid w:val="00536B74"/>
    <w:rsid w:val="00537545"/>
    <w:rsid w:val="0054248F"/>
    <w:rsid w:val="00542574"/>
    <w:rsid w:val="005441FC"/>
    <w:rsid w:val="005459CE"/>
    <w:rsid w:val="0054600C"/>
    <w:rsid w:val="00546243"/>
    <w:rsid w:val="00546AE1"/>
    <w:rsid w:val="00547EF2"/>
    <w:rsid w:val="00547F20"/>
    <w:rsid w:val="005505AF"/>
    <w:rsid w:val="005516CE"/>
    <w:rsid w:val="00551B6A"/>
    <w:rsid w:val="00552059"/>
    <w:rsid w:val="00552E50"/>
    <w:rsid w:val="005552E3"/>
    <w:rsid w:val="005562D9"/>
    <w:rsid w:val="00557327"/>
    <w:rsid w:val="00560A7D"/>
    <w:rsid w:val="00560B0B"/>
    <w:rsid w:val="0056112E"/>
    <w:rsid w:val="00561722"/>
    <w:rsid w:val="0056221C"/>
    <w:rsid w:val="00562D57"/>
    <w:rsid w:val="005636C4"/>
    <w:rsid w:val="0056432D"/>
    <w:rsid w:val="00566225"/>
    <w:rsid w:val="00567714"/>
    <w:rsid w:val="005721F1"/>
    <w:rsid w:val="00572C98"/>
    <w:rsid w:val="00572CBF"/>
    <w:rsid w:val="005734F0"/>
    <w:rsid w:val="00573BC0"/>
    <w:rsid w:val="0057615A"/>
    <w:rsid w:val="005766A7"/>
    <w:rsid w:val="00577FDE"/>
    <w:rsid w:val="00580571"/>
    <w:rsid w:val="0058243C"/>
    <w:rsid w:val="00584060"/>
    <w:rsid w:val="00584938"/>
    <w:rsid w:val="0058533C"/>
    <w:rsid w:val="00586364"/>
    <w:rsid w:val="005863C2"/>
    <w:rsid w:val="00586EEB"/>
    <w:rsid w:val="00587ACE"/>
    <w:rsid w:val="00590533"/>
    <w:rsid w:val="00591F92"/>
    <w:rsid w:val="0059217B"/>
    <w:rsid w:val="00592E35"/>
    <w:rsid w:val="0059318C"/>
    <w:rsid w:val="00593C65"/>
    <w:rsid w:val="00595339"/>
    <w:rsid w:val="00595F70"/>
    <w:rsid w:val="005968E2"/>
    <w:rsid w:val="00596FA6"/>
    <w:rsid w:val="0059759E"/>
    <w:rsid w:val="005A0115"/>
    <w:rsid w:val="005A04FF"/>
    <w:rsid w:val="005A08AD"/>
    <w:rsid w:val="005A0CCA"/>
    <w:rsid w:val="005A11A9"/>
    <w:rsid w:val="005A17CA"/>
    <w:rsid w:val="005A2648"/>
    <w:rsid w:val="005A2C81"/>
    <w:rsid w:val="005A46D6"/>
    <w:rsid w:val="005A4F7B"/>
    <w:rsid w:val="005A61A0"/>
    <w:rsid w:val="005A63C3"/>
    <w:rsid w:val="005A7933"/>
    <w:rsid w:val="005A7C80"/>
    <w:rsid w:val="005B438D"/>
    <w:rsid w:val="005B5278"/>
    <w:rsid w:val="005B531D"/>
    <w:rsid w:val="005B5DA2"/>
    <w:rsid w:val="005B615C"/>
    <w:rsid w:val="005C090B"/>
    <w:rsid w:val="005C1647"/>
    <w:rsid w:val="005C1761"/>
    <w:rsid w:val="005C251D"/>
    <w:rsid w:val="005C2F39"/>
    <w:rsid w:val="005C4A21"/>
    <w:rsid w:val="005C4E6D"/>
    <w:rsid w:val="005C5838"/>
    <w:rsid w:val="005C7CA9"/>
    <w:rsid w:val="005D0999"/>
    <w:rsid w:val="005D0A10"/>
    <w:rsid w:val="005D0FF7"/>
    <w:rsid w:val="005D127E"/>
    <w:rsid w:val="005D16DF"/>
    <w:rsid w:val="005D1B45"/>
    <w:rsid w:val="005D2012"/>
    <w:rsid w:val="005D32A3"/>
    <w:rsid w:val="005D36CC"/>
    <w:rsid w:val="005D546C"/>
    <w:rsid w:val="005D6792"/>
    <w:rsid w:val="005D73AE"/>
    <w:rsid w:val="005D7F8D"/>
    <w:rsid w:val="005E2462"/>
    <w:rsid w:val="005E5745"/>
    <w:rsid w:val="005E61CA"/>
    <w:rsid w:val="005F015A"/>
    <w:rsid w:val="005F1182"/>
    <w:rsid w:val="005F1190"/>
    <w:rsid w:val="005F1F79"/>
    <w:rsid w:val="005F48CE"/>
    <w:rsid w:val="005F48F9"/>
    <w:rsid w:val="005F49C4"/>
    <w:rsid w:val="005F4A0C"/>
    <w:rsid w:val="005F5B18"/>
    <w:rsid w:val="005F5C60"/>
    <w:rsid w:val="005F5CF6"/>
    <w:rsid w:val="005F7520"/>
    <w:rsid w:val="005F77C3"/>
    <w:rsid w:val="006013A4"/>
    <w:rsid w:val="00605A25"/>
    <w:rsid w:val="0060632B"/>
    <w:rsid w:val="00606523"/>
    <w:rsid w:val="00607878"/>
    <w:rsid w:val="00607DD2"/>
    <w:rsid w:val="0061693B"/>
    <w:rsid w:val="00620646"/>
    <w:rsid w:val="006213D8"/>
    <w:rsid w:val="006220B0"/>
    <w:rsid w:val="0062398F"/>
    <w:rsid w:val="00623D51"/>
    <w:rsid w:val="00627689"/>
    <w:rsid w:val="006277DB"/>
    <w:rsid w:val="0063073B"/>
    <w:rsid w:val="00633CF2"/>
    <w:rsid w:val="00634BA3"/>
    <w:rsid w:val="006429AC"/>
    <w:rsid w:val="006466CA"/>
    <w:rsid w:val="00650AC0"/>
    <w:rsid w:val="00650C90"/>
    <w:rsid w:val="00651964"/>
    <w:rsid w:val="006529A7"/>
    <w:rsid w:val="00655E5A"/>
    <w:rsid w:val="0065629C"/>
    <w:rsid w:val="00661747"/>
    <w:rsid w:val="0066238C"/>
    <w:rsid w:val="00662787"/>
    <w:rsid w:val="00664E1B"/>
    <w:rsid w:val="00665FE7"/>
    <w:rsid w:val="006712FC"/>
    <w:rsid w:val="0067230E"/>
    <w:rsid w:val="006728E9"/>
    <w:rsid w:val="00672D84"/>
    <w:rsid w:val="0067334A"/>
    <w:rsid w:val="00675CE7"/>
    <w:rsid w:val="00680EB8"/>
    <w:rsid w:val="00680F0F"/>
    <w:rsid w:val="00682C0E"/>
    <w:rsid w:val="00684A30"/>
    <w:rsid w:val="00685C7D"/>
    <w:rsid w:val="006862CE"/>
    <w:rsid w:val="0068734D"/>
    <w:rsid w:val="00690983"/>
    <w:rsid w:val="0069270F"/>
    <w:rsid w:val="00695D22"/>
    <w:rsid w:val="00696B66"/>
    <w:rsid w:val="006A1129"/>
    <w:rsid w:val="006A2F5E"/>
    <w:rsid w:val="006A322E"/>
    <w:rsid w:val="006A3CE2"/>
    <w:rsid w:val="006A42A5"/>
    <w:rsid w:val="006A444C"/>
    <w:rsid w:val="006A4548"/>
    <w:rsid w:val="006A47D0"/>
    <w:rsid w:val="006A48D6"/>
    <w:rsid w:val="006A56C2"/>
    <w:rsid w:val="006A587C"/>
    <w:rsid w:val="006A5B7C"/>
    <w:rsid w:val="006A75C5"/>
    <w:rsid w:val="006A7CB8"/>
    <w:rsid w:val="006B0778"/>
    <w:rsid w:val="006B1968"/>
    <w:rsid w:val="006B1CB3"/>
    <w:rsid w:val="006B23C4"/>
    <w:rsid w:val="006B460F"/>
    <w:rsid w:val="006B518A"/>
    <w:rsid w:val="006B549F"/>
    <w:rsid w:val="006B7E0A"/>
    <w:rsid w:val="006C101D"/>
    <w:rsid w:val="006C110F"/>
    <w:rsid w:val="006C156C"/>
    <w:rsid w:val="006C1F03"/>
    <w:rsid w:val="006C2B47"/>
    <w:rsid w:val="006C53C6"/>
    <w:rsid w:val="006C7234"/>
    <w:rsid w:val="006D0133"/>
    <w:rsid w:val="006D03BB"/>
    <w:rsid w:val="006D1386"/>
    <w:rsid w:val="006D599D"/>
    <w:rsid w:val="006D5F48"/>
    <w:rsid w:val="006D608B"/>
    <w:rsid w:val="006D7437"/>
    <w:rsid w:val="006D7C61"/>
    <w:rsid w:val="006E15B0"/>
    <w:rsid w:val="006E16D3"/>
    <w:rsid w:val="006E2D8E"/>
    <w:rsid w:val="006E2D8F"/>
    <w:rsid w:val="006E32C8"/>
    <w:rsid w:val="006E3854"/>
    <w:rsid w:val="006E5050"/>
    <w:rsid w:val="006E78AB"/>
    <w:rsid w:val="006F1118"/>
    <w:rsid w:val="006F1DC3"/>
    <w:rsid w:val="006F3F7A"/>
    <w:rsid w:val="006F5279"/>
    <w:rsid w:val="006F563F"/>
    <w:rsid w:val="006F5FE5"/>
    <w:rsid w:val="006F63CC"/>
    <w:rsid w:val="006F65F4"/>
    <w:rsid w:val="0070052F"/>
    <w:rsid w:val="00701938"/>
    <w:rsid w:val="00702379"/>
    <w:rsid w:val="00702A13"/>
    <w:rsid w:val="0070341A"/>
    <w:rsid w:val="007047EE"/>
    <w:rsid w:val="00706D20"/>
    <w:rsid w:val="00706DB5"/>
    <w:rsid w:val="00706F8D"/>
    <w:rsid w:val="00707104"/>
    <w:rsid w:val="007074CB"/>
    <w:rsid w:val="00711143"/>
    <w:rsid w:val="00711458"/>
    <w:rsid w:val="007117BF"/>
    <w:rsid w:val="00715144"/>
    <w:rsid w:val="0071580D"/>
    <w:rsid w:val="00715DC0"/>
    <w:rsid w:val="00720555"/>
    <w:rsid w:val="00720A36"/>
    <w:rsid w:val="007216F5"/>
    <w:rsid w:val="00723C5C"/>
    <w:rsid w:val="00725580"/>
    <w:rsid w:val="00725981"/>
    <w:rsid w:val="0072755B"/>
    <w:rsid w:val="0072775E"/>
    <w:rsid w:val="007304D3"/>
    <w:rsid w:val="00730FEC"/>
    <w:rsid w:val="00731E36"/>
    <w:rsid w:val="00731EA4"/>
    <w:rsid w:val="00733FC4"/>
    <w:rsid w:val="007364B5"/>
    <w:rsid w:val="007368E8"/>
    <w:rsid w:val="00737C24"/>
    <w:rsid w:val="0074032F"/>
    <w:rsid w:val="0074183F"/>
    <w:rsid w:val="0074260E"/>
    <w:rsid w:val="0074262E"/>
    <w:rsid w:val="007434DF"/>
    <w:rsid w:val="0074441D"/>
    <w:rsid w:val="007457A9"/>
    <w:rsid w:val="007460D5"/>
    <w:rsid w:val="0074670F"/>
    <w:rsid w:val="00746BF3"/>
    <w:rsid w:val="00746FD9"/>
    <w:rsid w:val="00747543"/>
    <w:rsid w:val="00747F0F"/>
    <w:rsid w:val="007502D1"/>
    <w:rsid w:val="00750319"/>
    <w:rsid w:val="00750CC1"/>
    <w:rsid w:val="00752200"/>
    <w:rsid w:val="00752232"/>
    <w:rsid w:val="00752719"/>
    <w:rsid w:val="00752D9C"/>
    <w:rsid w:val="00756B9C"/>
    <w:rsid w:val="00757311"/>
    <w:rsid w:val="00762CCE"/>
    <w:rsid w:val="00765882"/>
    <w:rsid w:val="00765EAC"/>
    <w:rsid w:val="00770E6A"/>
    <w:rsid w:val="00771812"/>
    <w:rsid w:val="00772002"/>
    <w:rsid w:val="00772E30"/>
    <w:rsid w:val="007734C0"/>
    <w:rsid w:val="00775275"/>
    <w:rsid w:val="0077772F"/>
    <w:rsid w:val="00780CAD"/>
    <w:rsid w:val="00781AC4"/>
    <w:rsid w:val="0078473B"/>
    <w:rsid w:val="00785D79"/>
    <w:rsid w:val="007872A4"/>
    <w:rsid w:val="007907D2"/>
    <w:rsid w:val="0079464F"/>
    <w:rsid w:val="007952A4"/>
    <w:rsid w:val="007A179B"/>
    <w:rsid w:val="007A3059"/>
    <w:rsid w:val="007A4E73"/>
    <w:rsid w:val="007A501D"/>
    <w:rsid w:val="007A6A62"/>
    <w:rsid w:val="007A6D17"/>
    <w:rsid w:val="007A6D48"/>
    <w:rsid w:val="007B1011"/>
    <w:rsid w:val="007B10E4"/>
    <w:rsid w:val="007C0AE6"/>
    <w:rsid w:val="007C10FC"/>
    <w:rsid w:val="007C52D2"/>
    <w:rsid w:val="007C77CD"/>
    <w:rsid w:val="007D1A24"/>
    <w:rsid w:val="007D213F"/>
    <w:rsid w:val="007D2DFC"/>
    <w:rsid w:val="007D30A0"/>
    <w:rsid w:val="007D53E7"/>
    <w:rsid w:val="007E1D82"/>
    <w:rsid w:val="007E5FF9"/>
    <w:rsid w:val="007E65DE"/>
    <w:rsid w:val="007E6D8E"/>
    <w:rsid w:val="007E73F7"/>
    <w:rsid w:val="007E7FBD"/>
    <w:rsid w:val="007F0985"/>
    <w:rsid w:val="007F1371"/>
    <w:rsid w:val="007F1513"/>
    <w:rsid w:val="007F2B86"/>
    <w:rsid w:val="007F3455"/>
    <w:rsid w:val="007F37EF"/>
    <w:rsid w:val="007F4C3B"/>
    <w:rsid w:val="007F77DC"/>
    <w:rsid w:val="007F7B92"/>
    <w:rsid w:val="008013D5"/>
    <w:rsid w:val="00801CA8"/>
    <w:rsid w:val="008029FB"/>
    <w:rsid w:val="00805D1C"/>
    <w:rsid w:val="00807D49"/>
    <w:rsid w:val="00814C9C"/>
    <w:rsid w:val="008157F5"/>
    <w:rsid w:val="00816580"/>
    <w:rsid w:val="00817804"/>
    <w:rsid w:val="00821C96"/>
    <w:rsid w:val="00822005"/>
    <w:rsid w:val="008227C0"/>
    <w:rsid w:val="00823863"/>
    <w:rsid w:val="0082463E"/>
    <w:rsid w:val="00826862"/>
    <w:rsid w:val="00826A49"/>
    <w:rsid w:val="00832D62"/>
    <w:rsid w:val="00834B81"/>
    <w:rsid w:val="00834CEC"/>
    <w:rsid w:val="00835D30"/>
    <w:rsid w:val="00836467"/>
    <w:rsid w:val="008376CB"/>
    <w:rsid w:val="00837759"/>
    <w:rsid w:val="00837943"/>
    <w:rsid w:val="00840E5B"/>
    <w:rsid w:val="008410B0"/>
    <w:rsid w:val="0084158E"/>
    <w:rsid w:val="00842535"/>
    <w:rsid w:val="00843094"/>
    <w:rsid w:val="0084598B"/>
    <w:rsid w:val="00846529"/>
    <w:rsid w:val="00847116"/>
    <w:rsid w:val="008478F1"/>
    <w:rsid w:val="00847E67"/>
    <w:rsid w:val="00850439"/>
    <w:rsid w:val="008518A5"/>
    <w:rsid w:val="0085224B"/>
    <w:rsid w:val="0085490C"/>
    <w:rsid w:val="00854E07"/>
    <w:rsid w:val="0085515B"/>
    <w:rsid w:val="00855C87"/>
    <w:rsid w:val="00857A74"/>
    <w:rsid w:val="00860219"/>
    <w:rsid w:val="00860B91"/>
    <w:rsid w:val="00862322"/>
    <w:rsid w:val="00862FFE"/>
    <w:rsid w:val="00863808"/>
    <w:rsid w:val="0086410E"/>
    <w:rsid w:val="008651E7"/>
    <w:rsid w:val="00867C1B"/>
    <w:rsid w:val="00870727"/>
    <w:rsid w:val="008712E8"/>
    <w:rsid w:val="00871E32"/>
    <w:rsid w:val="00875866"/>
    <w:rsid w:val="0087675B"/>
    <w:rsid w:val="00880ED8"/>
    <w:rsid w:val="00881733"/>
    <w:rsid w:val="0088215E"/>
    <w:rsid w:val="0088596F"/>
    <w:rsid w:val="00886C25"/>
    <w:rsid w:val="008911D5"/>
    <w:rsid w:val="00891851"/>
    <w:rsid w:val="00892E1B"/>
    <w:rsid w:val="0089319A"/>
    <w:rsid w:val="00893805"/>
    <w:rsid w:val="00893B8E"/>
    <w:rsid w:val="008950F7"/>
    <w:rsid w:val="00895152"/>
    <w:rsid w:val="00895459"/>
    <w:rsid w:val="008A079D"/>
    <w:rsid w:val="008A0CDA"/>
    <w:rsid w:val="008A10C8"/>
    <w:rsid w:val="008A13AD"/>
    <w:rsid w:val="008A162A"/>
    <w:rsid w:val="008A25E2"/>
    <w:rsid w:val="008A2F65"/>
    <w:rsid w:val="008A322D"/>
    <w:rsid w:val="008A3621"/>
    <w:rsid w:val="008A43D0"/>
    <w:rsid w:val="008A4657"/>
    <w:rsid w:val="008A486E"/>
    <w:rsid w:val="008B00AC"/>
    <w:rsid w:val="008B048C"/>
    <w:rsid w:val="008B0F95"/>
    <w:rsid w:val="008B1AB0"/>
    <w:rsid w:val="008B2F52"/>
    <w:rsid w:val="008B37C0"/>
    <w:rsid w:val="008B45DE"/>
    <w:rsid w:val="008B49C4"/>
    <w:rsid w:val="008B4D57"/>
    <w:rsid w:val="008B6A0C"/>
    <w:rsid w:val="008B6E74"/>
    <w:rsid w:val="008C053D"/>
    <w:rsid w:val="008C0C18"/>
    <w:rsid w:val="008C423D"/>
    <w:rsid w:val="008C431D"/>
    <w:rsid w:val="008C5DC7"/>
    <w:rsid w:val="008C74B9"/>
    <w:rsid w:val="008D0BCF"/>
    <w:rsid w:val="008D4024"/>
    <w:rsid w:val="008D418E"/>
    <w:rsid w:val="008D6B9B"/>
    <w:rsid w:val="008D72D8"/>
    <w:rsid w:val="008D7CE1"/>
    <w:rsid w:val="008E2C02"/>
    <w:rsid w:val="008E33FF"/>
    <w:rsid w:val="008E48FB"/>
    <w:rsid w:val="008E4DBF"/>
    <w:rsid w:val="008E4F1A"/>
    <w:rsid w:val="008E5923"/>
    <w:rsid w:val="008E6349"/>
    <w:rsid w:val="008E6E85"/>
    <w:rsid w:val="008E7AD1"/>
    <w:rsid w:val="008F0877"/>
    <w:rsid w:val="008F0C41"/>
    <w:rsid w:val="008F12AF"/>
    <w:rsid w:val="008F1414"/>
    <w:rsid w:val="008F1524"/>
    <w:rsid w:val="008F5341"/>
    <w:rsid w:val="008F6CA3"/>
    <w:rsid w:val="008F78F7"/>
    <w:rsid w:val="009004E3"/>
    <w:rsid w:val="0090191B"/>
    <w:rsid w:val="00901F96"/>
    <w:rsid w:val="009024F0"/>
    <w:rsid w:val="00902959"/>
    <w:rsid w:val="009036A2"/>
    <w:rsid w:val="00903B13"/>
    <w:rsid w:val="0090504F"/>
    <w:rsid w:val="00907D0B"/>
    <w:rsid w:val="00907FED"/>
    <w:rsid w:val="00910E61"/>
    <w:rsid w:val="009139B9"/>
    <w:rsid w:val="00913C5A"/>
    <w:rsid w:val="00913FAF"/>
    <w:rsid w:val="009141ED"/>
    <w:rsid w:val="00914B19"/>
    <w:rsid w:val="00915A1C"/>
    <w:rsid w:val="00915E2D"/>
    <w:rsid w:val="00916B03"/>
    <w:rsid w:val="00917682"/>
    <w:rsid w:val="009204B2"/>
    <w:rsid w:val="00920B9D"/>
    <w:rsid w:val="00921147"/>
    <w:rsid w:val="009211D0"/>
    <w:rsid w:val="0092174D"/>
    <w:rsid w:val="009242CF"/>
    <w:rsid w:val="0092536A"/>
    <w:rsid w:val="00926BE7"/>
    <w:rsid w:val="009278C8"/>
    <w:rsid w:val="0092799F"/>
    <w:rsid w:val="00930311"/>
    <w:rsid w:val="0093145D"/>
    <w:rsid w:val="00932A59"/>
    <w:rsid w:val="00932B4D"/>
    <w:rsid w:val="00933580"/>
    <w:rsid w:val="009344C9"/>
    <w:rsid w:val="00934C4A"/>
    <w:rsid w:val="00935888"/>
    <w:rsid w:val="00940DAC"/>
    <w:rsid w:val="00941EAC"/>
    <w:rsid w:val="00942327"/>
    <w:rsid w:val="00944045"/>
    <w:rsid w:val="00945D04"/>
    <w:rsid w:val="00950213"/>
    <w:rsid w:val="00951613"/>
    <w:rsid w:val="009518C7"/>
    <w:rsid w:val="00953508"/>
    <w:rsid w:val="00953C02"/>
    <w:rsid w:val="009552CD"/>
    <w:rsid w:val="0096006A"/>
    <w:rsid w:val="0096073A"/>
    <w:rsid w:val="00961F65"/>
    <w:rsid w:val="009649A6"/>
    <w:rsid w:val="00965A78"/>
    <w:rsid w:val="00965D2D"/>
    <w:rsid w:val="00965DF6"/>
    <w:rsid w:val="00970F08"/>
    <w:rsid w:val="009711E9"/>
    <w:rsid w:val="009718DF"/>
    <w:rsid w:val="00971B62"/>
    <w:rsid w:val="00971CD2"/>
    <w:rsid w:val="00972823"/>
    <w:rsid w:val="00972F56"/>
    <w:rsid w:val="00974FD9"/>
    <w:rsid w:val="0097527A"/>
    <w:rsid w:val="00976450"/>
    <w:rsid w:val="00976595"/>
    <w:rsid w:val="00977456"/>
    <w:rsid w:val="009775D0"/>
    <w:rsid w:val="00977BBA"/>
    <w:rsid w:val="00980145"/>
    <w:rsid w:val="009801EA"/>
    <w:rsid w:val="00987C89"/>
    <w:rsid w:val="00987EAE"/>
    <w:rsid w:val="009906E1"/>
    <w:rsid w:val="00990A6A"/>
    <w:rsid w:val="00992A6D"/>
    <w:rsid w:val="00992CEB"/>
    <w:rsid w:val="00992CFD"/>
    <w:rsid w:val="009939A9"/>
    <w:rsid w:val="00993A0C"/>
    <w:rsid w:val="00997660"/>
    <w:rsid w:val="009A0512"/>
    <w:rsid w:val="009A4B93"/>
    <w:rsid w:val="009A574C"/>
    <w:rsid w:val="009A57B5"/>
    <w:rsid w:val="009A655B"/>
    <w:rsid w:val="009A67BB"/>
    <w:rsid w:val="009A6C0F"/>
    <w:rsid w:val="009A7BE8"/>
    <w:rsid w:val="009B02D0"/>
    <w:rsid w:val="009B11A0"/>
    <w:rsid w:val="009B20EA"/>
    <w:rsid w:val="009B267D"/>
    <w:rsid w:val="009B485B"/>
    <w:rsid w:val="009B4A2E"/>
    <w:rsid w:val="009B54E6"/>
    <w:rsid w:val="009B5EDB"/>
    <w:rsid w:val="009B5F0B"/>
    <w:rsid w:val="009C03FF"/>
    <w:rsid w:val="009C1328"/>
    <w:rsid w:val="009C26A1"/>
    <w:rsid w:val="009C48C5"/>
    <w:rsid w:val="009D02A5"/>
    <w:rsid w:val="009D04BB"/>
    <w:rsid w:val="009D138C"/>
    <w:rsid w:val="009D13C0"/>
    <w:rsid w:val="009D24B8"/>
    <w:rsid w:val="009D4007"/>
    <w:rsid w:val="009D4FA0"/>
    <w:rsid w:val="009D61FF"/>
    <w:rsid w:val="009E0BA4"/>
    <w:rsid w:val="009E0DCF"/>
    <w:rsid w:val="009E3BC9"/>
    <w:rsid w:val="009E5581"/>
    <w:rsid w:val="009E57CA"/>
    <w:rsid w:val="009E7DAC"/>
    <w:rsid w:val="009E7E56"/>
    <w:rsid w:val="009F0083"/>
    <w:rsid w:val="009F239C"/>
    <w:rsid w:val="009F3F9E"/>
    <w:rsid w:val="009F4C52"/>
    <w:rsid w:val="009F78E9"/>
    <w:rsid w:val="00A012A1"/>
    <w:rsid w:val="00A01B65"/>
    <w:rsid w:val="00A0465C"/>
    <w:rsid w:val="00A05899"/>
    <w:rsid w:val="00A0646A"/>
    <w:rsid w:val="00A10139"/>
    <w:rsid w:val="00A10C77"/>
    <w:rsid w:val="00A117C4"/>
    <w:rsid w:val="00A11D52"/>
    <w:rsid w:val="00A13CE7"/>
    <w:rsid w:val="00A14220"/>
    <w:rsid w:val="00A1435F"/>
    <w:rsid w:val="00A21900"/>
    <w:rsid w:val="00A219C7"/>
    <w:rsid w:val="00A23AD2"/>
    <w:rsid w:val="00A25B88"/>
    <w:rsid w:val="00A25FD2"/>
    <w:rsid w:val="00A26D79"/>
    <w:rsid w:val="00A30913"/>
    <w:rsid w:val="00A30958"/>
    <w:rsid w:val="00A335A3"/>
    <w:rsid w:val="00A35606"/>
    <w:rsid w:val="00A37BE3"/>
    <w:rsid w:val="00A37EF9"/>
    <w:rsid w:val="00A40418"/>
    <w:rsid w:val="00A40607"/>
    <w:rsid w:val="00A412EE"/>
    <w:rsid w:val="00A4295F"/>
    <w:rsid w:val="00A43F66"/>
    <w:rsid w:val="00A440E2"/>
    <w:rsid w:val="00A44F35"/>
    <w:rsid w:val="00A45C11"/>
    <w:rsid w:val="00A47EBE"/>
    <w:rsid w:val="00A509F4"/>
    <w:rsid w:val="00A536E8"/>
    <w:rsid w:val="00A54D9D"/>
    <w:rsid w:val="00A56A08"/>
    <w:rsid w:val="00A5738F"/>
    <w:rsid w:val="00A60F59"/>
    <w:rsid w:val="00A61E98"/>
    <w:rsid w:val="00A61F51"/>
    <w:rsid w:val="00A634D4"/>
    <w:rsid w:val="00A638FA"/>
    <w:rsid w:val="00A65AEE"/>
    <w:rsid w:val="00A6690D"/>
    <w:rsid w:val="00A66B33"/>
    <w:rsid w:val="00A675F8"/>
    <w:rsid w:val="00A67990"/>
    <w:rsid w:val="00A70050"/>
    <w:rsid w:val="00A700B8"/>
    <w:rsid w:val="00A70809"/>
    <w:rsid w:val="00A70EB4"/>
    <w:rsid w:val="00A746E9"/>
    <w:rsid w:val="00A76A3B"/>
    <w:rsid w:val="00A77ED7"/>
    <w:rsid w:val="00A81238"/>
    <w:rsid w:val="00A812BA"/>
    <w:rsid w:val="00A81FEA"/>
    <w:rsid w:val="00A82092"/>
    <w:rsid w:val="00A82E48"/>
    <w:rsid w:val="00A84BFA"/>
    <w:rsid w:val="00A8777F"/>
    <w:rsid w:val="00A87B3D"/>
    <w:rsid w:val="00A90538"/>
    <w:rsid w:val="00A92A5A"/>
    <w:rsid w:val="00A93412"/>
    <w:rsid w:val="00A978A9"/>
    <w:rsid w:val="00A97F1B"/>
    <w:rsid w:val="00AA05D8"/>
    <w:rsid w:val="00AA0E8F"/>
    <w:rsid w:val="00AA1975"/>
    <w:rsid w:val="00AA3204"/>
    <w:rsid w:val="00AA48B8"/>
    <w:rsid w:val="00AB219A"/>
    <w:rsid w:val="00AB2ECA"/>
    <w:rsid w:val="00AB5434"/>
    <w:rsid w:val="00AB5541"/>
    <w:rsid w:val="00AB6F70"/>
    <w:rsid w:val="00AB7367"/>
    <w:rsid w:val="00AB7AD9"/>
    <w:rsid w:val="00AC2211"/>
    <w:rsid w:val="00AC2405"/>
    <w:rsid w:val="00AC2DF9"/>
    <w:rsid w:val="00AC3A89"/>
    <w:rsid w:val="00AC3ACC"/>
    <w:rsid w:val="00AC4087"/>
    <w:rsid w:val="00AC5F35"/>
    <w:rsid w:val="00AC63BB"/>
    <w:rsid w:val="00AD0ADF"/>
    <w:rsid w:val="00AD209D"/>
    <w:rsid w:val="00AD2767"/>
    <w:rsid w:val="00AD2935"/>
    <w:rsid w:val="00AD3B3C"/>
    <w:rsid w:val="00AD3DBD"/>
    <w:rsid w:val="00AD3DF7"/>
    <w:rsid w:val="00AD40C9"/>
    <w:rsid w:val="00AD498A"/>
    <w:rsid w:val="00AD5C23"/>
    <w:rsid w:val="00AD7132"/>
    <w:rsid w:val="00AE128F"/>
    <w:rsid w:val="00AE1636"/>
    <w:rsid w:val="00AE1D5B"/>
    <w:rsid w:val="00AE201C"/>
    <w:rsid w:val="00AE25CF"/>
    <w:rsid w:val="00AE2897"/>
    <w:rsid w:val="00AE4D25"/>
    <w:rsid w:val="00AE64DC"/>
    <w:rsid w:val="00AE6EA7"/>
    <w:rsid w:val="00AE6FE1"/>
    <w:rsid w:val="00AE7CDA"/>
    <w:rsid w:val="00AE7F7A"/>
    <w:rsid w:val="00AF0BF4"/>
    <w:rsid w:val="00AF22A9"/>
    <w:rsid w:val="00AF2A44"/>
    <w:rsid w:val="00AF301D"/>
    <w:rsid w:val="00AF35EE"/>
    <w:rsid w:val="00AF7599"/>
    <w:rsid w:val="00AF79C8"/>
    <w:rsid w:val="00AF7E6C"/>
    <w:rsid w:val="00B0192C"/>
    <w:rsid w:val="00B06026"/>
    <w:rsid w:val="00B111F5"/>
    <w:rsid w:val="00B12A56"/>
    <w:rsid w:val="00B13C39"/>
    <w:rsid w:val="00B13D4A"/>
    <w:rsid w:val="00B142AD"/>
    <w:rsid w:val="00B14E56"/>
    <w:rsid w:val="00B1501B"/>
    <w:rsid w:val="00B20547"/>
    <w:rsid w:val="00B23083"/>
    <w:rsid w:val="00B24085"/>
    <w:rsid w:val="00B25A81"/>
    <w:rsid w:val="00B25AB6"/>
    <w:rsid w:val="00B27A28"/>
    <w:rsid w:val="00B30DE4"/>
    <w:rsid w:val="00B31843"/>
    <w:rsid w:val="00B32A64"/>
    <w:rsid w:val="00B3362D"/>
    <w:rsid w:val="00B345B5"/>
    <w:rsid w:val="00B35E8C"/>
    <w:rsid w:val="00B40266"/>
    <w:rsid w:val="00B40529"/>
    <w:rsid w:val="00B40E7C"/>
    <w:rsid w:val="00B411DC"/>
    <w:rsid w:val="00B411E3"/>
    <w:rsid w:val="00B4202A"/>
    <w:rsid w:val="00B438EA"/>
    <w:rsid w:val="00B46147"/>
    <w:rsid w:val="00B463FB"/>
    <w:rsid w:val="00B46A38"/>
    <w:rsid w:val="00B46D39"/>
    <w:rsid w:val="00B5220B"/>
    <w:rsid w:val="00B530EB"/>
    <w:rsid w:val="00B543CA"/>
    <w:rsid w:val="00B54ACC"/>
    <w:rsid w:val="00B55600"/>
    <w:rsid w:val="00B61B86"/>
    <w:rsid w:val="00B62D12"/>
    <w:rsid w:val="00B6343B"/>
    <w:rsid w:val="00B67DCE"/>
    <w:rsid w:val="00B70382"/>
    <w:rsid w:val="00B72B82"/>
    <w:rsid w:val="00B731F2"/>
    <w:rsid w:val="00B7612D"/>
    <w:rsid w:val="00B801E8"/>
    <w:rsid w:val="00B8227B"/>
    <w:rsid w:val="00B822C7"/>
    <w:rsid w:val="00B82312"/>
    <w:rsid w:val="00B832BD"/>
    <w:rsid w:val="00B84611"/>
    <w:rsid w:val="00B853CC"/>
    <w:rsid w:val="00B860B3"/>
    <w:rsid w:val="00B87EBA"/>
    <w:rsid w:val="00B90AF3"/>
    <w:rsid w:val="00B92086"/>
    <w:rsid w:val="00B92C3D"/>
    <w:rsid w:val="00B92FC2"/>
    <w:rsid w:val="00BA06EC"/>
    <w:rsid w:val="00BA1AA9"/>
    <w:rsid w:val="00BA2181"/>
    <w:rsid w:val="00BA3093"/>
    <w:rsid w:val="00BA41EA"/>
    <w:rsid w:val="00BA4B88"/>
    <w:rsid w:val="00BA5099"/>
    <w:rsid w:val="00BA5173"/>
    <w:rsid w:val="00BA6124"/>
    <w:rsid w:val="00BA61B4"/>
    <w:rsid w:val="00BB3C24"/>
    <w:rsid w:val="00BB55FA"/>
    <w:rsid w:val="00BB6093"/>
    <w:rsid w:val="00BB7A96"/>
    <w:rsid w:val="00BC0390"/>
    <w:rsid w:val="00BC075A"/>
    <w:rsid w:val="00BC1690"/>
    <w:rsid w:val="00BC1D6F"/>
    <w:rsid w:val="00BC4141"/>
    <w:rsid w:val="00BC773A"/>
    <w:rsid w:val="00BC7FAB"/>
    <w:rsid w:val="00BD0550"/>
    <w:rsid w:val="00BD0D3F"/>
    <w:rsid w:val="00BD57C8"/>
    <w:rsid w:val="00BD72E3"/>
    <w:rsid w:val="00BD7BE7"/>
    <w:rsid w:val="00BE1B2D"/>
    <w:rsid w:val="00BE240F"/>
    <w:rsid w:val="00BE5605"/>
    <w:rsid w:val="00BE6382"/>
    <w:rsid w:val="00BE6728"/>
    <w:rsid w:val="00BF15CE"/>
    <w:rsid w:val="00BF1A9C"/>
    <w:rsid w:val="00BF1DC6"/>
    <w:rsid w:val="00BF2136"/>
    <w:rsid w:val="00BF350F"/>
    <w:rsid w:val="00BF598B"/>
    <w:rsid w:val="00BF5B90"/>
    <w:rsid w:val="00BF6AD9"/>
    <w:rsid w:val="00BF7B8F"/>
    <w:rsid w:val="00BF7E2C"/>
    <w:rsid w:val="00C00B8B"/>
    <w:rsid w:val="00C0107F"/>
    <w:rsid w:val="00C0396F"/>
    <w:rsid w:val="00C04164"/>
    <w:rsid w:val="00C05723"/>
    <w:rsid w:val="00C05736"/>
    <w:rsid w:val="00C05A1C"/>
    <w:rsid w:val="00C06CEC"/>
    <w:rsid w:val="00C06F55"/>
    <w:rsid w:val="00C1004E"/>
    <w:rsid w:val="00C10734"/>
    <w:rsid w:val="00C12F61"/>
    <w:rsid w:val="00C162C6"/>
    <w:rsid w:val="00C170A0"/>
    <w:rsid w:val="00C1790F"/>
    <w:rsid w:val="00C17A8F"/>
    <w:rsid w:val="00C230E0"/>
    <w:rsid w:val="00C2451E"/>
    <w:rsid w:val="00C24D2B"/>
    <w:rsid w:val="00C25AF5"/>
    <w:rsid w:val="00C27396"/>
    <w:rsid w:val="00C27CD7"/>
    <w:rsid w:val="00C30889"/>
    <w:rsid w:val="00C3099E"/>
    <w:rsid w:val="00C30AA2"/>
    <w:rsid w:val="00C3259E"/>
    <w:rsid w:val="00C327E9"/>
    <w:rsid w:val="00C33379"/>
    <w:rsid w:val="00C34DC1"/>
    <w:rsid w:val="00C371DB"/>
    <w:rsid w:val="00C37ED4"/>
    <w:rsid w:val="00C41640"/>
    <w:rsid w:val="00C4313B"/>
    <w:rsid w:val="00C44124"/>
    <w:rsid w:val="00C4482B"/>
    <w:rsid w:val="00C45CCD"/>
    <w:rsid w:val="00C4790E"/>
    <w:rsid w:val="00C47E71"/>
    <w:rsid w:val="00C50CC2"/>
    <w:rsid w:val="00C52ACD"/>
    <w:rsid w:val="00C52EAB"/>
    <w:rsid w:val="00C53B2C"/>
    <w:rsid w:val="00C547A2"/>
    <w:rsid w:val="00C54F9B"/>
    <w:rsid w:val="00C55D8A"/>
    <w:rsid w:val="00C62712"/>
    <w:rsid w:val="00C63A97"/>
    <w:rsid w:val="00C6438D"/>
    <w:rsid w:val="00C6494F"/>
    <w:rsid w:val="00C64CEC"/>
    <w:rsid w:val="00C659DB"/>
    <w:rsid w:val="00C67651"/>
    <w:rsid w:val="00C710B8"/>
    <w:rsid w:val="00C7450E"/>
    <w:rsid w:val="00C75555"/>
    <w:rsid w:val="00C75786"/>
    <w:rsid w:val="00C8097D"/>
    <w:rsid w:val="00C829E6"/>
    <w:rsid w:val="00C850EF"/>
    <w:rsid w:val="00C854C0"/>
    <w:rsid w:val="00C873C5"/>
    <w:rsid w:val="00C87ED7"/>
    <w:rsid w:val="00C915CD"/>
    <w:rsid w:val="00C92B93"/>
    <w:rsid w:val="00C94944"/>
    <w:rsid w:val="00C94960"/>
    <w:rsid w:val="00C9514F"/>
    <w:rsid w:val="00C961AD"/>
    <w:rsid w:val="00CA11EC"/>
    <w:rsid w:val="00CA185C"/>
    <w:rsid w:val="00CA27FD"/>
    <w:rsid w:val="00CA32E7"/>
    <w:rsid w:val="00CA4FB1"/>
    <w:rsid w:val="00CA6F0E"/>
    <w:rsid w:val="00CA7A5E"/>
    <w:rsid w:val="00CB007E"/>
    <w:rsid w:val="00CB20BD"/>
    <w:rsid w:val="00CB265B"/>
    <w:rsid w:val="00CB2DAA"/>
    <w:rsid w:val="00CB2EB9"/>
    <w:rsid w:val="00CB3A2B"/>
    <w:rsid w:val="00CB4598"/>
    <w:rsid w:val="00CB4A48"/>
    <w:rsid w:val="00CB598A"/>
    <w:rsid w:val="00CB657A"/>
    <w:rsid w:val="00CB72E4"/>
    <w:rsid w:val="00CC026F"/>
    <w:rsid w:val="00CC1236"/>
    <w:rsid w:val="00CC1D05"/>
    <w:rsid w:val="00CC3EAD"/>
    <w:rsid w:val="00CC4CC1"/>
    <w:rsid w:val="00CC77B2"/>
    <w:rsid w:val="00CD0828"/>
    <w:rsid w:val="00CD2119"/>
    <w:rsid w:val="00CD3DAC"/>
    <w:rsid w:val="00CD6AA1"/>
    <w:rsid w:val="00CD6EE3"/>
    <w:rsid w:val="00CD70CC"/>
    <w:rsid w:val="00CE046A"/>
    <w:rsid w:val="00CE36AA"/>
    <w:rsid w:val="00CE4C76"/>
    <w:rsid w:val="00CE56C2"/>
    <w:rsid w:val="00CF1685"/>
    <w:rsid w:val="00CF25C9"/>
    <w:rsid w:val="00CF2D17"/>
    <w:rsid w:val="00CF3171"/>
    <w:rsid w:val="00CF3626"/>
    <w:rsid w:val="00CF746F"/>
    <w:rsid w:val="00D004A5"/>
    <w:rsid w:val="00D017DA"/>
    <w:rsid w:val="00D0190F"/>
    <w:rsid w:val="00D04AF4"/>
    <w:rsid w:val="00D050FD"/>
    <w:rsid w:val="00D065AA"/>
    <w:rsid w:val="00D06EBC"/>
    <w:rsid w:val="00D079FE"/>
    <w:rsid w:val="00D10713"/>
    <w:rsid w:val="00D1114B"/>
    <w:rsid w:val="00D129BC"/>
    <w:rsid w:val="00D14244"/>
    <w:rsid w:val="00D14521"/>
    <w:rsid w:val="00D150A7"/>
    <w:rsid w:val="00D151D2"/>
    <w:rsid w:val="00D16B61"/>
    <w:rsid w:val="00D208F4"/>
    <w:rsid w:val="00D22D42"/>
    <w:rsid w:val="00D23ACD"/>
    <w:rsid w:val="00D23B04"/>
    <w:rsid w:val="00D253F6"/>
    <w:rsid w:val="00D2690D"/>
    <w:rsid w:val="00D26D2A"/>
    <w:rsid w:val="00D278E6"/>
    <w:rsid w:val="00D27E8B"/>
    <w:rsid w:val="00D31706"/>
    <w:rsid w:val="00D3241A"/>
    <w:rsid w:val="00D337F9"/>
    <w:rsid w:val="00D36525"/>
    <w:rsid w:val="00D37285"/>
    <w:rsid w:val="00D4114C"/>
    <w:rsid w:val="00D416E4"/>
    <w:rsid w:val="00D419B4"/>
    <w:rsid w:val="00D426C4"/>
    <w:rsid w:val="00D4400C"/>
    <w:rsid w:val="00D44624"/>
    <w:rsid w:val="00D449C1"/>
    <w:rsid w:val="00D457B9"/>
    <w:rsid w:val="00D47DF8"/>
    <w:rsid w:val="00D54D90"/>
    <w:rsid w:val="00D5680A"/>
    <w:rsid w:val="00D56EE1"/>
    <w:rsid w:val="00D64B8F"/>
    <w:rsid w:val="00D64DB6"/>
    <w:rsid w:val="00D663A0"/>
    <w:rsid w:val="00D6748C"/>
    <w:rsid w:val="00D708F8"/>
    <w:rsid w:val="00D71105"/>
    <w:rsid w:val="00D718FD"/>
    <w:rsid w:val="00D719DE"/>
    <w:rsid w:val="00D768D6"/>
    <w:rsid w:val="00D76D8E"/>
    <w:rsid w:val="00D77D93"/>
    <w:rsid w:val="00D8222F"/>
    <w:rsid w:val="00D82FD2"/>
    <w:rsid w:val="00D83C67"/>
    <w:rsid w:val="00D87059"/>
    <w:rsid w:val="00D9156D"/>
    <w:rsid w:val="00D91D6D"/>
    <w:rsid w:val="00D938D3"/>
    <w:rsid w:val="00D94255"/>
    <w:rsid w:val="00DA0750"/>
    <w:rsid w:val="00DA1343"/>
    <w:rsid w:val="00DA2954"/>
    <w:rsid w:val="00DA35B9"/>
    <w:rsid w:val="00DA3605"/>
    <w:rsid w:val="00DA3F25"/>
    <w:rsid w:val="00DA3F49"/>
    <w:rsid w:val="00DB0E02"/>
    <w:rsid w:val="00DB3D93"/>
    <w:rsid w:val="00DB481D"/>
    <w:rsid w:val="00DB4E93"/>
    <w:rsid w:val="00DB530A"/>
    <w:rsid w:val="00DB58F9"/>
    <w:rsid w:val="00DB78AC"/>
    <w:rsid w:val="00DB7EE2"/>
    <w:rsid w:val="00DC015E"/>
    <w:rsid w:val="00DC082D"/>
    <w:rsid w:val="00DC495F"/>
    <w:rsid w:val="00DC5F86"/>
    <w:rsid w:val="00DC61CC"/>
    <w:rsid w:val="00DC7277"/>
    <w:rsid w:val="00DC74CB"/>
    <w:rsid w:val="00DC7AB1"/>
    <w:rsid w:val="00DD06E7"/>
    <w:rsid w:val="00DD0B28"/>
    <w:rsid w:val="00DD276B"/>
    <w:rsid w:val="00DD2BDA"/>
    <w:rsid w:val="00DD3C85"/>
    <w:rsid w:val="00DD40A0"/>
    <w:rsid w:val="00DD4EDC"/>
    <w:rsid w:val="00DD5B07"/>
    <w:rsid w:val="00DD6BEA"/>
    <w:rsid w:val="00DD6D9E"/>
    <w:rsid w:val="00DD741E"/>
    <w:rsid w:val="00DD7433"/>
    <w:rsid w:val="00DD785F"/>
    <w:rsid w:val="00DD7DDD"/>
    <w:rsid w:val="00DE1623"/>
    <w:rsid w:val="00DE2C13"/>
    <w:rsid w:val="00DE6B1B"/>
    <w:rsid w:val="00DE716E"/>
    <w:rsid w:val="00DF19FC"/>
    <w:rsid w:val="00DF266F"/>
    <w:rsid w:val="00DF2D1C"/>
    <w:rsid w:val="00DF31CF"/>
    <w:rsid w:val="00DF5296"/>
    <w:rsid w:val="00DF7351"/>
    <w:rsid w:val="00E00052"/>
    <w:rsid w:val="00E0229F"/>
    <w:rsid w:val="00E02A04"/>
    <w:rsid w:val="00E03581"/>
    <w:rsid w:val="00E051C9"/>
    <w:rsid w:val="00E055FE"/>
    <w:rsid w:val="00E05D27"/>
    <w:rsid w:val="00E0692C"/>
    <w:rsid w:val="00E12F29"/>
    <w:rsid w:val="00E13252"/>
    <w:rsid w:val="00E1343A"/>
    <w:rsid w:val="00E15FCB"/>
    <w:rsid w:val="00E16A4E"/>
    <w:rsid w:val="00E16BDC"/>
    <w:rsid w:val="00E21446"/>
    <w:rsid w:val="00E21A00"/>
    <w:rsid w:val="00E22C04"/>
    <w:rsid w:val="00E23AB2"/>
    <w:rsid w:val="00E23E34"/>
    <w:rsid w:val="00E24199"/>
    <w:rsid w:val="00E242A4"/>
    <w:rsid w:val="00E24814"/>
    <w:rsid w:val="00E26B79"/>
    <w:rsid w:val="00E26D9F"/>
    <w:rsid w:val="00E33654"/>
    <w:rsid w:val="00E357C2"/>
    <w:rsid w:val="00E35A67"/>
    <w:rsid w:val="00E36622"/>
    <w:rsid w:val="00E37B04"/>
    <w:rsid w:val="00E37E8B"/>
    <w:rsid w:val="00E44961"/>
    <w:rsid w:val="00E44CD0"/>
    <w:rsid w:val="00E45FB7"/>
    <w:rsid w:val="00E46611"/>
    <w:rsid w:val="00E4699D"/>
    <w:rsid w:val="00E46F32"/>
    <w:rsid w:val="00E47F76"/>
    <w:rsid w:val="00E507B5"/>
    <w:rsid w:val="00E512C7"/>
    <w:rsid w:val="00E53981"/>
    <w:rsid w:val="00E53DDE"/>
    <w:rsid w:val="00E53F93"/>
    <w:rsid w:val="00E56F9F"/>
    <w:rsid w:val="00E5727A"/>
    <w:rsid w:val="00E607B4"/>
    <w:rsid w:val="00E6196D"/>
    <w:rsid w:val="00E65118"/>
    <w:rsid w:val="00E66B04"/>
    <w:rsid w:val="00E6740E"/>
    <w:rsid w:val="00E71675"/>
    <w:rsid w:val="00E71888"/>
    <w:rsid w:val="00E72879"/>
    <w:rsid w:val="00E73913"/>
    <w:rsid w:val="00E74F62"/>
    <w:rsid w:val="00E76478"/>
    <w:rsid w:val="00E76517"/>
    <w:rsid w:val="00E77ACD"/>
    <w:rsid w:val="00E8264B"/>
    <w:rsid w:val="00E828B3"/>
    <w:rsid w:val="00E83E00"/>
    <w:rsid w:val="00E83EF0"/>
    <w:rsid w:val="00E8539D"/>
    <w:rsid w:val="00E85FE4"/>
    <w:rsid w:val="00E86BB4"/>
    <w:rsid w:val="00E919FE"/>
    <w:rsid w:val="00E92EBF"/>
    <w:rsid w:val="00E9446D"/>
    <w:rsid w:val="00E9582E"/>
    <w:rsid w:val="00E961D5"/>
    <w:rsid w:val="00E97746"/>
    <w:rsid w:val="00E978E8"/>
    <w:rsid w:val="00E97B00"/>
    <w:rsid w:val="00EA19AC"/>
    <w:rsid w:val="00EA1B50"/>
    <w:rsid w:val="00EA20ED"/>
    <w:rsid w:val="00EA62ED"/>
    <w:rsid w:val="00EA6BD5"/>
    <w:rsid w:val="00EA71B0"/>
    <w:rsid w:val="00EB0436"/>
    <w:rsid w:val="00EB0608"/>
    <w:rsid w:val="00EB5044"/>
    <w:rsid w:val="00EB6B3F"/>
    <w:rsid w:val="00EB6B58"/>
    <w:rsid w:val="00EC093F"/>
    <w:rsid w:val="00EC0C32"/>
    <w:rsid w:val="00EC436D"/>
    <w:rsid w:val="00EC46A9"/>
    <w:rsid w:val="00EC6213"/>
    <w:rsid w:val="00EC7773"/>
    <w:rsid w:val="00EC7CD8"/>
    <w:rsid w:val="00ED0214"/>
    <w:rsid w:val="00ED0B8C"/>
    <w:rsid w:val="00ED2099"/>
    <w:rsid w:val="00ED7872"/>
    <w:rsid w:val="00EE0311"/>
    <w:rsid w:val="00EE0E4D"/>
    <w:rsid w:val="00EE31B7"/>
    <w:rsid w:val="00EE4445"/>
    <w:rsid w:val="00EE4AFD"/>
    <w:rsid w:val="00EE4EE8"/>
    <w:rsid w:val="00EE6F1D"/>
    <w:rsid w:val="00EF012A"/>
    <w:rsid w:val="00EF2094"/>
    <w:rsid w:val="00EF5054"/>
    <w:rsid w:val="00EF69A6"/>
    <w:rsid w:val="00F010DD"/>
    <w:rsid w:val="00F02BA3"/>
    <w:rsid w:val="00F03273"/>
    <w:rsid w:val="00F03CB4"/>
    <w:rsid w:val="00F03E4F"/>
    <w:rsid w:val="00F0471E"/>
    <w:rsid w:val="00F05BCD"/>
    <w:rsid w:val="00F07001"/>
    <w:rsid w:val="00F075E1"/>
    <w:rsid w:val="00F12381"/>
    <w:rsid w:val="00F155B6"/>
    <w:rsid w:val="00F1660F"/>
    <w:rsid w:val="00F16A9D"/>
    <w:rsid w:val="00F16FAB"/>
    <w:rsid w:val="00F20110"/>
    <w:rsid w:val="00F208E6"/>
    <w:rsid w:val="00F224E8"/>
    <w:rsid w:val="00F23C6C"/>
    <w:rsid w:val="00F24248"/>
    <w:rsid w:val="00F253AA"/>
    <w:rsid w:val="00F27AB2"/>
    <w:rsid w:val="00F27E98"/>
    <w:rsid w:val="00F302B3"/>
    <w:rsid w:val="00F3103F"/>
    <w:rsid w:val="00F3283C"/>
    <w:rsid w:val="00F34192"/>
    <w:rsid w:val="00F3419B"/>
    <w:rsid w:val="00F36ADA"/>
    <w:rsid w:val="00F4156A"/>
    <w:rsid w:val="00F41875"/>
    <w:rsid w:val="00F41C80"/>
    <w:rsid w:val="00F41E29"/>
    <w:rsid w:val="00F43B4F"/>
    <w:rsid w:val="00F4452D"/>
    <w:rsid w:val="00F447EE"/>
    <w:rsid w:val="00F5265F"/>
    <w:rsid w:val="00F56458"/>
    <w:rsid w:val="00F571DA"/>
    <w:rsid w:val="00F57479"/>
    <w:rsid w:val="00F60598"/>
    <w:rsid w:val="00F62386"/>
    <w:rsid w:val="00F62B9E"/>
    <w:rsid w:val="00F6329A"/>
    <w:rsid w:val="00F632F2"/>
    <w:rsid w:val="00F63B8D"/>
    <w:rsid w:val="00F640DC"/>
    <w:rsid w:val="00F64514"/>
    <w:rsid w:val="00F65C44"/>
    <w:rsid w:val="00F65EC0"/>
    <w:rsid w:val="00F663D6"/>
    <w:rsid w:val="00F71528"/>
    <w:rsid w:val="00F71AB9"/>
    <w:rsid w:val="00F735E0"/>
    <w:rsid w:val="00F7396B"/>
    <w:rsid w:val="00F7407A"/>
    <w:rsid w:val="00F74C1C"/>
    <w:rsid w:val="00F74E03"/>
    <w:rsid w:val="00F76FA8"/>
    <w:rsid w:val="00F776B0"/>
    <w:rsid w:val="00F815CF"/>
    <w:rsid w:val="00F83E49"/>
    <w:rsid w:val="00F846E0"/>
    <w:rsid w:val="00F84806"/>
    <w:rsid w:val="00F84CF7"/>
    <w:rsid w:val="00F8707F"/>
    <w:rsid w:val="00F87B87"/>
    <w:rsid w:val="00F900B7"/>
    <w:rsid w:val="00F90341"/>
    <w:rsid w:val="00F91162"/>
    <w:rsid w:val="00F93CAE"/>
    <w:rsid w:val="00F95D4A"/>
    <w:rsid w:val="00F96336"/>
    <w:rsid w:val="00F96451"/>
    <w:rsid w:val="00F968CD"/>
    <w:rsid w:val="00F977F9"/>
    <w:rsid w:val="00FA0C31"/>
    <w:rsid w:val="00FA3A40"/>
    <w:rsid w:val="00FA466B"/>
    <w:rsid w:val="00FA65F4"/>
    <w:rsid w:val="00FA6E78"/>
    <w:rsid w:val="00FB0F8D"/>
    <w:rsid w:val="00FB17F5"/>
    <w:rsid w:val="00FB1C8C"/>
    <w:rsid w:val="00FB335C"/>
    <w:rsid w:val="00FB3E46"/>
    <w:rsid w:val="00FB472A"/>
    <w:rsid w:val="00FB5108"/>
    <w:rsid w:val="00FB7F10"/>
    <w:rsid w:val="00FC088A"/>
    <w:rsid w:val="00FC14D1"/>
    <w:rsid w:val="00FC1D61"/>
    <w:rsid w:val="00FC2DB5"/>
    <w:rsid w:val="00FC3D7F"/>
    <w:rsid w:val="00FC605B"/>
    <w:rsid w:val="00FD351F"/>
    <w:rsid w:val="00FD4E31"/>
    <w:rsid w:val="00FD6DD3"/>
    <w:rsid w:val="00FD75DD"/>
    <w:rsid w:val="00FD76CC"/>
    <w:rsid w:val="00FE148E"/>
    <w:rsid w:val="00FE1E0A"/>
    <w:rsid w:val="00FE2879"/>
    <w:rsid w:val="00FE29FF"/>
    <w:rsid w:val="00FE3A81"/>
    <w:rsid w:val="00FE76C7"/>
    <w:rsid w:val="00FF097A"/>
    <w:rsid w:val="00FF0E2E"/>
    <w:rsid w:val="00FF24D6"/>
    <w:rsid w:val="00FF475D"/>
    <w:rsid w:val="00FF6C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955C59"/>
  <w15:chartTrackingRefBased/>
  <w15:docId w15:val="{F35635A4-F2D7-451D-843B-7AC210C7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7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E85"/>
    <w:pPr>
      <w:ind w:left="720"/>
      <w:contextualSpacing/>
    </w:pPr>
  </w:style>
  <w:style w:type="character" w:styleId="Hyperlink">
    <w:name w:val="Hyperlink"/>
    <w:basedOn w:val="DefaultParagraphFont"/>
    <w:uiPriority w:val="99"/>
    <w:unhideWhenUsed/>
    <w:rsid w:val="004954A0"/>
    <w:rPr>
      <w:color w:val="0563C1" w:themeColor="hyperlink"/>
      <w:u w:val="single"/>
    </w:rPr>
  </w:style>
  <w:style w:type="character" w:styleId="UnresolvedMention">
    <w:name w:val="Unresolved Mention"/>
    <w:basedOn w:val="DefaultParagraphFont"/>
    <w:uiPriority w:val="99"/>
    <w:semiHidden/>
    <w:unhideWhenUsed/>
    <w:rsid w:val="004954A0"/>
    <w:rPr>
      <w:color w:val="605E5C"/>
      <w:shd w:val="clear" w:color="auto" w:fill="E1DFDD"/>
    </w:rPr>
  </w:style>
  <w:style w:type="paragraph" w:styleId="NormalWeb">
    <w:name w:val="Normal (Web)"/>
    <w:basedOn w:val="Normal"/>
    <w:uiPriority w:val="99"/>
    <w:unhideWhenUsed/>
    <w:rsid w:val="00A21900"/>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A21900"/>
    <w:rPr>
      <w:b/>
      <w:bCs/>
    </w:rPr>
  </w:style>
  <w:style w:type="paragraph" w:styleId="Header">
    <w:name w:val="header"/>
    <w:basedOn w:val="Normal"/>
    <w:link w:val="HeaderChar"/>
    <w:uiPriority w:val="99"/>
    <w:unhideWhenUsed/>
    <w:rsid w:val="003E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BDA"/>
  </w:style>
  <w:style w:type="paragraph" w:styleId="Footer">
    <w:name w:val="footer"/>
    <w:basedOn w:val="Normal"/>
    <w:link w:val="FooterChar"/>
    <w:uiPriority w:val="99"/>
    <w:unhideWhenUsed/>
    <w:rsid w:val="003E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BDA"/>
  </w:style>
  <w:style w:type="paragraph" w:styleId="FootnoteText">
    <w:name w:val="footnote text"/>
    <w:basedOn w:val="Normal"/>
    <w:link w:val="FootnoteTextChar"/>
    <w:uiPriority w:val="99"/>
    <w:semiHidden/>
    <w:unhideWhenUsed/>
    <w:rsid w:val="00323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790"/>
    <w:rPr>
      <w:sz w:val="20"/>
      <w:szCs w:val="20"/>
    </w:rPr>
  </w:style>
  <w:style w:type="character" w:styleId="FootnoteReference">
    <w:name w:val="footnote reference"/>
    <w:basedOn w:val="DefaultParagraphFont"/>
    <w:uiPriority w:val="99"/>
    <w:semiHidden/>
    <w:unhideWhenUsed/>
    <w:rsid w:val="00323790"/>
    <w:rPr>
      <w:vertAlign w:val="superscript"/>
    </w:rPr>
  </w:style>
  <w:style w:type="character" w:customStyle="1" w:styleId="Heading1Char">
    <w:name w:val="Heading 1 Char"/>
    <w:basedOn w:val="DefaultParagraphFont"/>
    <w:link w:val="Heading1"/>
    <w:uiPriority w:val="9"/>
    <w:rsid w:val="0032379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7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1C"/>
    <w:rPr>
      <w:rFonts w:ascii="Segoe UI" w:hAnsi="Segoe UI" w:cs="Segoe UI"/>
      <w:sz w:val="18"/>
      <w:szCs w:val="18"/>
    </w:rPr>
  </w:style>
  <w:style w:type="paragraph" w:customStyle="1" w:styleId="legrhs">
    <w:name w:val="legrhs"/>
    <w:basedOn w:val="Normal"/>
    <w:rsid w:val="00243F41"/>
    <w:pPr>
      <w:spacing w:before="100" w:beforeAutospacing="1" w:after="100" w:afterAutospacing="1"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638">
      <w:bodyDiv w:val="1"/>
      <w:marLeft w:val="0"/>
      <w:marRight w:val="0"/>
      <w:marTop w:val="0"/>
      <w:marBottom w:val="0"/>
      <w:divBdr>
        <w:top w:val="none" w:sz="0" w:space="0" w:color="auto"/>
        <w:left w:val="none" w:sz="0" w:space="0" w:color="auto"/>
        <w:bottom w:val="none" w:sz="0" w:space="0" w:color="auto"/>
        <w:right w:val="none" w:sz="0" w:space="0" w:color="auto"/>
      </w:divBdr>
    </w:div>
    <w:div w:id="262301723">
      <w:bodyDiv w:val="1"/>
      <w:marLeft w:val="0"/>
      <w:marRight w:val="0"/>
      <w:marTop w:val="0"/>
      <w:marBottom w:val="0"/>
      <w:divBdr>
        <w:top w:val="none" w:sz="0" w:space="0" w:color="auto"/>
        <w:left w:val="none" w:sz="0" w:space="0" w:color="auto"/>
        <w:bottom w:val="none" w:sz="0" w:space="0" w:color="auto"/>
        <w:right w:val="none" w:sz="0" w:space="0" w:color="auto"/>
      </w:divBdr>
    </w:div>
    <w:div w:id="826675063">
      <w:bodyDiv w:val="1"/>
      <w:marLeft w:val="0"/>
      <w:marRight w:val="0"/>
      <w:marTop w:val="0"/>
      <w:marBottom w:val="0"/>
      <w:divBdr>
        <w:top w:val="none" w:sz="0" w:space="0" w:color="auto"/>
        <w:left w:val="none" w:sz="0" w:space="0" w:color="auto"/>
        <w:bottom w:val="none" w:sz="0" w:space="0" w:color="auto"/>
        <w:right w:val="none" w:sz="0" w:space="0" w:color="auto"/>
      </w:divBdr>
    </w:div>
    <w:div w:id="872813943">
      <w:bodyDiv w:val="1"/>
      <w:marLeft w:val="0"/>
      <w:marRight w:val="0"/>
      <w:marTop w:val="0"/>
      <w:marBottom w:val="0"/>
      <w:divBdr>
        <w:top w:val="none" w:sz="0" w:space="0" w:color="auto"/>
        <w:left w:val="none" w:sz="0" w:space="0" w:color="auto"/>
        <w:bottom w:val="none" w:sz="0" w:space="0" w:color="auto"/>
        <w:right w:val="none" w:sz="0" w:space="0" w:color="auto"/>
      </w:divBdr>
      <w:divsChild>
        <w:div w:id="756828103">
          <w:marLeft w:val="0"/>
          <w:marRight w:val="0"/>
          <w:marTop w:val="0"/>
          <w:marBottom w:val="0"/>
          <w:divBdr>
            <w:top w:val="none" w:sz="0" w:space="0" w:color="auto"/>
            <w:left w:val="none" w:sz="0" w:space="0" w:color="auto"/>
            <w:bottom w:val="none" w:sz="0" w:space="0" w:color="auto"/>
            <w:right w:val="none" w:sz="0" w:space="0" w:color="auto"/>
          </w:divBdr>
          <w:divsChild>
            <w:div w:id="1198158517">
              <w:marLeft w:val="0"/>
              <w:marRight w:val="0"/>
              <w:marTop w:val="0"/>
              <w:marBottom w:val="0"/>
              <w:divBdr>
                <w:top w:val="none" w:sz="0" w:space="0" w:color="auto"/>
                <w:left w:val="none" w:sz="0" w:space="0" w:color="auto"/>
                <w:bottom w:val="none" w:sz="0" w:space="0" w:color="auto"/>
                <w:right w:val="none" w:sz="0" w:space="0" w:color="auto"/>
              </w:divBdr>
              <w:divsChild>
                <w:div w:id="2095395552">
                  <w:marLeft w:val="0"/>
                  <w:marRight w:val="0"/>
                  <w:marTop w:val="0"/>
                  <w:marBottom w:val="0"/>
                  <w:divBdr>
                    <w:top w:val="none" w:sz="0" w:space="0" w:color="auto"/>
                    <w:left w:val="none" w:sz="0" w:space="0" w:color="auto"/>
                    <w:bottom w:val="none" w:sz="0" w:space="0" w:color="auto"/>
                    <w:right w:val="none" w:sz="0" w:space="0" w:color="auto"/>
                  </w:divBdr>
                  <w:divsChild>
                    <w:div w:id="30805847">
                      <w:marLeft w:val="0"/>
                      <w:marRight w:val="0"/>
                      <w:marTop w:val="0"/>
                      <w:marBottom w:val="0"/>
                      <w:divBdr>
                        <w:top w:val="none" w:sz="0" w:space="0" w:color="auto"/>
                        <w:left w:val="none" w:sz="0" w:space="0" w:color="auto"/>
                        <w:bottom w:val="none" w:sz="0" w:space="0" w:color="auto"/>
                        <w:right w:val="none" w:sz="0" w:space="0" w:color="auto"/>
                      </w:divBdr>
                      <w:divsChild>
                        <w:div w:id="841041448">
                          <w:marLeft w:val="0"/>
                          <w:marRight w:val="0"/>
                          <w:marTop w:val="0"/>
                          <w:marBottom w:val="0"/>
                          <w:divBdr>
                            <w:top w:val="none" w:sz="0" w:space="0" w:color="auto"/>
                            <w:left w:val="none" w:sz="0" w:space="0" w:color="auto"/>
                            <w:bottom w:val="none" w:sz="0" w:space="0" w:color="auto"/>
                            <w:right w:val="none" w:sz="0" w:space="0" w:color="auto"/>
                          </w:divBdr>
                          <w:divsChild>
                            <w:div w:id="12917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90382">
      <w:bodyDiv w:val="1"/>
      <w:marLeft w:val="0"/>
      <w:marRight w:val="0"/>
      <w:marTop w:val="0"/>
      <w:marBottom w:val="0"/>
      <w:divBdr>
        <w:top w:val="none" w:sz="0" w:space="0" w:color="auto"/>
        <w:left w:val="none" w:sz="0" w:space="0" w:color="auto"/>
        <w:bottom w:val="none" w:sz="0" w:space="0" w:color="auto"/>
        <w:right w:val="none" w:sz="0" w:space="0" w:color="auto"/>
      </w:divBdr>
    </w:div>
    <w:div w:id="1363047716">
      <w:bodyDiv w:val="1"/>
      <w:marLeft w:val="0"/>
      <w:marRight w:val="0"/>
      <w:marTop w:val="0"/>
      <w:marBottom w:val="0"/>
      <w:divBdr>
        <w:top w:val="none" w:sz="0" w:space="0" w:color="auto"/>
        <w:left w:val="none" w:sz="0" w:space="0" w:color="auto"/>
        <w:bottom w:val="none" w:sz="0" w:space="0" w:color="auto"/>
        <w:right w:val="none" w:sz="0" w:space="0" w:color="auto"/>
      </w:divBdr>
      <w:divsChild>
        <w:div w:id="2061048039">
          <w:marLeft w:val="0"/>
          <w:marRight w:val="0"/>
          <w:marTop w:val="0"/>
          <w:marBottom w:val="0"/>
          <w:divBdr>
            <w:top w:val="none" w:sz="0" w:space="0" w:color="auto"/>
            <w:left w:val="none" w:sz="0" w:space="0" w:color="auto"/>
            <w:bottom w:val="none" w:sz="0" w:space="0" w:color="auto"/>
            <w:right w:val="none" w:sz="0" w:space="0" w:color="auto"/>
          </w:divBdr>
        </w:div>
      </w:divsChild>
    </w:div>
    <w:div w:id="1483542747">
      <w:bodyDiv w:val="1"/>
      <w:marLeft w:val="0"/>
      <w:marRight w:val="0"/>
      <w:marTop w:val="0"/>
      <w:marBottom w:val="0"/>
      <w:divBdr>
        <w:top w:val="none" w:sz="0" w:space="0" w:color="auto"/>
        <w:left w:val="none" w:sz="0" w:space="0" w:color="auto"/>
        <w:bottom w:val="none" w:sz="0" w:space="0" w:color="auto"/>
        <w:right w:val="none" w:sz="0" w:space="0" w:color="auto"/>
      </w:divBdr>
      <w:divsChild>
        <w:div w:id="781535486">
          <w:marLeft w:val="0"/>
          <w:marRight w:val="0"/>
          <w:marTop w:val="0"/>
          <w:marBottom w:val="0"/>
          <w:divBdr>
            <w:top w:val="none" w:sz="0" w:space="0" w:color="auto"/>
            <w:left w:val="none" w:sz="0" w:space="0" w:color="auto"/>
            <w:bottom w:val="none" w:sz="0" w:space="0" w:color="auto"/>
            <w:right w:val="none" w:sz="0" w:space="0" w:color="auto"/>
          </w:divBdr>
          <w:divsChild>
            <w:div w:id="1697579760">
              <w:marLeft w:val="0"/>
              <w:marRight w:val="0"/>
              <w:marTop w:val="0"/>
              <w:marBottom w:val="0"/>
              <w:divBdr>
                <w:top w:val="none" w:sz="0" w:space="0" w:color="auto"/>
                <w:left w:val="none" w:sz="0" w:space="0" w:color="auto"/>
                <w:bottom w:val="none" w:sz="0" w:space="0" w:color="auto"/>
                <w:right w:val="none" w:sz="0" w:space="0" w:color="auto"/>
              </w:divBdr>
              <w:divsChild>
                <w:div w:id="184515352">
                  <w:marLeft w:val="0"/>
                  <w:marRight w:val="0"/>
                  <w:marTop w:val="0"/>
                  <w:marBottom w:val="0"/>
                  <w:divBdr>
                    <w:top w:val="none" w:sz="0" w:space="0" w:color="auto"/>
                    <w:left w:val="none" w:sz="0" w:space="0" w:color="auto"/>
                    <w:bottom w:val="none" w:sz="0" w:space="0" w:color="auto"/>
                    <w:right w:val="none" w:sz="0" w:space="0" w:color="auto"/>
                  </w:divBdr>
                  <w:divsChild>
                    <w:div w:id="1905069651">
                      <w:marLeft w:val="0"/>
                      <w:marRight w:val="0"/>
                      <w:marTop w:val="0"/>
                      <w:marBottom w:val="0"/>
                      <w:divBdr>
                        <w:top w:val="none" w:sz="0" w:space="0" w:color="auto"/>
                        <w:left w:val="none" w:sz="0" w:space="0" w:color="auto"/>
                        <w:bottom w:val="none" w:sz="0" w:space="0" w:color="auto"/>
                        <w:right w:val="none" w:sz="0" w:space="0" w:color="auto"/>
                      </w:divBdr>
                      <w:divsChild>
                        <w:div w:id="1100221707">
                          <w:marLeft w:val="0"/>
                          <w:marRight w:val="0"/>
                          <w:marTop w:val="0"/>
                          <w:marBottom w:val="0"/>
                          <w:divBdr>
                            <w:top w:val="none" w:sz="0" w:space="0" w:color="auto"/>
                            <w:left w:val="none" w:sz="0" w:space="0" w:color="auto"/>
                            <w:bottom w:val="none" w:sz="0" w:space="0" w:color="auto"/>
                            <w:right w:val="none" w:sz="0" w:space="0" w:color="auto"/>
                          </w:divBdr>
                          <w:divsChild>
                            <w:div w:id="15224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01869">
      <w:bodyDiv w:val="1"/>
      <w:marLeft w:val="0"/>
      <w:marRight w:val="0"/>
      <w:marTop w:val="0"/>
      <w:marBottom w:val="0"/>
      <w:divBdr>
        <w:top w:val="none" w:sz="0" w:space="0" w:color="auto"/>
        <w:left w:val="none" w:sz="0" w:space="0" w:color="auto"/>
        <w:bottom w:val="none" w:sz="0" w:space="0" w:color="auto"/>
        <w:right w:val="none" w:sz="0" w:space="0" w:color="auto"/>
      </w:divBdr>
      <w:divsChild>
        <w:div w:id="1503423668">
          <w:marLeft w:val="0"/>
          <w:marRight w:val="0"/>
          <w:marTop w:val="0"/>
          <w:marBottom w:val="0"/>
          <w:divBdr>
            <w:top w:val="none" w:sz="0" w:space="0" w:color="auto"/>
            <w:left w:val="none" w:sz="0" w:space="0" w:color="auto"/>
            <w:bottom w:val="none" w:sz="0" w:space="0" w:color="auto"/>
            <w:right w:val="none" w:sz="0" w:space="0" w:color="auto"/>
          </w:divBdr>
          <w:divsChild>
            <w:div w:id="883713944">
              <w:marLeft w:val="0"/>
              <w:marRight w:val="0"/>
              <w:marTop w:val="0"/>
              <w:marBottom w:val="0"/>
              <w:divBdr>
                <w:top w:val="none" w:sz="0" w:space="0" w:color="auto"/>
                <w:left w:val="none" w:sz="0" w:space="0" w:color="auto"/>
                <w:bottom w:val="none" w:sz="0" w:space="0" w:color="auto"/>
                <w:right w:val="none" w:sz="0" w:space="0" w:color="auto"/>
              </w:divBdr>
              <w:divsChild>
                <w:div w:id="236984463">
                  <w:marLeft w:val="0"/>
                  <w:marRight w:val="0"/>
                  <w:marTop w:val="0"/>
                  <w:marBottom w:val="0"/>
                  <w:divBdr>
                    <w:top w:val="none" w:sz="0" w:space="0" w:color="auto"/>
                    <w:left w:val="none" w:sz="0" w:space="0" w:color="auto"/>
                    <w:bottom w:val="none" w:sz="0" w:space="0" w:color="auto"/>
                    <w:right w:val="none" w:sz="0" w:space="0" w:color="auto"/>
                  </w:divBdr>
                  <w:divsChild>
                    <w:div w:id="1586038034">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2039352375">
      <w:bodyDiv w:val="1"/>
      <w:marLeft w:val="0"/>
      <w:marRight w:val="0"/>
      <w:marTop w:val="0"/>
      <w:marBottom w:val="0"/>
      <w:divBdr>
        <w:top w:val="none" w:sz="0" w:space="0" w:color="auto"/>
        <w:left w:val="none" w:sz="0" w:space="0" w:color="auto"/>
        <w:bottom w:val="none" w:sz="0" w:space="0" w:color="auto"/>
        <w:right w:val="none" w:sz="0" w:space="0" w:color="auto"/>
      </w:divBdr>
      <w:divsChild>
        <w:div w:id="5567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healthservices/bed-rai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7474</Words>
  <Characters>42603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49978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Vinall</dc:creator>
  <cp:keywords/>
  <dc:description/>
  <cp:lastModifiedBy>Karan Sandhu</cp:lastModifiedBy>
  <cp:revision>2</cp:revision>
  <cp:lastPrinted>2021-03-29T21:03:00Z</cp:lastPrinted>
  <dcterms:created xsi:type="dcterms:W3CDTF">2022-02-08T20:59:00Z</dcterms:created>
  <dcterms:modified xsi:type="dcterms:W3CDTF">2022-02-08T20:59:00Z</dcterms:modified>
</cp:coreProperties>
</file>